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0FC4" w14:textId="2AF873A8" w:rsidR="000722A8" w:rsidRPr="00BD4961" w:rsidRDefault="008B00E4" w:rsidP="00D97CE0">
      <w:pPr>
        <w:jc w:val="center"/>
        <w:rPr>
          <w:rFonts w:ascii="Times New Roman" w:hAnsi="Times New Roman" w:cs="Times New Roman"/>
          <w:b/>
          <w:bCs/>
          <w:sz w:val="32"/>
          <w:szCs w:val="32"/>
        </w:rPr>
      </w:pPr>
      <w:r w:rsidRPr="00BD4961">
        <w:rPr>
          <w:rFonts w:ascii="Times New Roman" w:hAnsi="Times New Roman" w:cs="Times New Roman"/>
          <w:b/>
          <w:bCs/>
          <w:sz w:val="32"/>
          <w:szCs w:val="32"/>
        </w:rPr>
        <w:t>RFP VR-2022-4 Greater New England Blindness and Employment Conference</w:t>
      </w:r>
    </w:p>
    <w:p w14:paraId="023D3F5D" w14:textId="3D199EB2" w:rsidR="00646664" w:rsidRDefault="008B00E4" w:rsidP="00D97CE0">
      <w:pPr>
        <w:jc w:val="center"/>
        <w:rPr>
          <w:rFonts w:ascii="Times New Roman" w:hAnsi="Times New Roman" w:cs="Times New Roman"/>
          <w:b/>
          <w:bCs/>
          <w:sz w:val="28"/>
          <w:szCs w:val="28"/>
        </w:rPr>
      </w:pPr>
      <w:r w:rsidRPr="00D97CE0">
        <w:rPr>
          <w:rFonts w:ascii="Times New Roman" w:hAnsi="Times New Roman" w:cs="Times New Roman"/>
          <w:b/>
          <w:bCs/>
          <w:sz w:val="28"/>
          <w:szCs w:val="28"/>
        </w:rPr>
        <w:t xml:space="preserve">Responses to </w:t>
      </w:r>
      <w:proofErr w:type="gramStart"/>
      <w:r w:rsidRPr="00D97CE0">
        <w:rPr>
          <w:rFonts w:ascii="Times New Roman" w:hAnsi="Times New Roman" w:cs="Times New Roman"/>
          <w:b/>
          <w:bCs/>
          <w:sz w:val="28"/>
          <w:szCs w:val="28"/>
        </w:rPr>
        <w:t>Questions</w:t>
      </w:r>
      <w:r w:rsidR="00BD4961">
        <w:rPr>
          <w:rFonts w:ascii="Times New Roman" w:hAnsi="Times New Roman" w:cs="Times New Roman"/>
          <w:b/>
          <w:bCs/>
          <w:sz w:val="28"/>
          <w:szCs w:val="28"/>
        </w:rPr>
        <w:t xml:space="preserve"> :</w:t>
      </w:r>
      <w:proofErr w:type="gramEnd"/>
      <w:r w:rsidR="00BD4961">
        <w:rPr>
          <w:rFonts w:ascii="Times New Roman" w:hAnsi="Times New Roman" w:cs="Times New Roman"/>
          <w:b/>
          <w:bCs/>
          <w:sz w:val="28"/>
          <w:szCs w:val="28"/>
        </w:rPr>
        <w:t xml:space="preserve"> </w:t>
      </w:r>
      <w:r w:rsidR="00646664" w:rsidRPr="00D97CE0">
        <w:rPr>
          <w:rFonts w:ascii="Times New Roman" w:hAnsi="Times New Roman" w:cs="Times New Roman"/>
          <w:b/>
          <w:bCs/>
          <w:sz w:val="28"/>
          <w:szCs w:val="28"/>
        </w:rPr>
        <w:t>6/1/22</w:t>
      </w:r>
    </w:p>
    <w:p w14:paraId="1AE9D92D" w14:textId="77777777" w:rsidR="00BD4961" w:rsidRPr="00D97CE0" w:rsidRDefault="00BD4961" w:rsidP="00D97CE0">
      <w:pPr>
        <w:jc w:val="center"/>
        <w:rPr>
          <w:rFonts w:ascii="Times New Roman" w:hAnsi="Times New Roman" w:cs="Times New Roman"/>
          <w:b/>
          <w:bCs/>
          <w:sz w:val="28"/>
          <w:szCs w:val="28"/>
        </w:rPr>
      </w:pPr>
    </w:p>
    <w:p w14:paraId="11B1AC2A" w14:textId="68268871" w:rsidR="008B00E4" w:rsidRPr="00D97CE0" w:rsidRDefault="008B00E4" w:rsidP="00D97CE0">
      <w:pPr>
        <w:rPr>
          <w:rFonts w:ascii="Times New Roman" w:hAnsi="Times New Roman" w:cs="Times New Roman"/>
          <w:sz w:val="28"/>
          <w:szCs w:val="28"/>
        </w:rPr>
      </w:pPr>
    </w:p>
    <w:p w14:paraId="6DCDF57F" w14:textId="34ADAF7E" w:rsidR="00030B66" w:rsidRPr="00D97CE0" w:rsidRDefault="00942767" w:rsidP="00D97CE0">
      <w:pPr>
        <w:pStyle w:val="ListParagraph"/>
        <w:numPr>
          <w:ilvl w:val="0"/>
          <w:numId w:val="2"/>
        </w:numPr>
        <w:ind w:left="0"/>
        <w:rPr>
          <w:rFonts w:ascii="Times New Roman" w:hAnsi="Times New Roman" w:cs="Times New Roman"/>
          <w:b/>
          <w:bCs/>
          <w:sz w:val="28"/>
          <w:szCs w:val="28"/>
        </w:rPr>
      </w:pPr>
      <w:r w:rsidRPr="00D97CE0">
        <w:rPr>
          <w:rFonts w:ascii="Times New Roman" w:hAnsi="Times New Roman" w:cs="Times New Roman"/>
          <w:b/>
          <w:bCs/>
          <w:sz w:val="28"/>
          <w:szCs w:val="28"/>
        </w:rPr>
        <w:t>H</w:t>
      </w:r>
      <w:r w:rsidR="008B00E4" w:rsidRPr="00D97CE0">
        <w:rPr>
          <w:rFonts w:ascii="Times New Roman" w:hAnsi="Times New Roman" w:cs="Times New Roman"/>
          <w:b/>
          <w:bCs/>
          <w:sz w:val="28"/>
          <w:szCs w:val="28"/>
        </w:rPr>
        <w:t>ow many participants are anticipated for this Conference?</w:t>
      </w:r>
    </w:p>
    <w:p w14:paraId="294D584E" w14:textId="395919B0" w:rsidR="008B00E4" w:rsidRDefault="00030B66"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00942767" w:rsidRPr="00D97CE0">
        <w:rPr>
          <w:rFonts w:ascii="Times New Roman" w:hAnsi="Times New Roman" w:cs="Times New Roman"/>
          <w:sz w:val="28"/>
          <w:szCs w:val="28"/>
        </w:rPr>
        <w:t xml:space="preserve"> </w:t>
      </w:r>
      <w:r w:rsidR="002D7F5A">
        <w:rPr>
          <w:rFonts w:ascii="Times New Roman" w:hAnsi="Times New Roman" w:cs="Times New Roman"/>
          <w:sz w:val="28"/>
          <w:szCs w:val="28"/>
        </w:rPr>
        <w:t>W</w:t>
      </w:r>
      <w:r w:rsidR="008B00E4" w:rsidRPr="00D97CE0">
        <w:rPr>
          <w:rFonts w:ascii="Times New Roman" w:hAnsi="Times New Roman" w:cs="Times New Roman"/>
          <w:sz w:val="28"/>
          <w:szCs w:val="28"/>
        </w:rPr>
        <w:t xml:space="preserve">hile we cannot say with absolute specificity how many participants are anticipated to </w:t>
      </w:r>
      <w:r w:rsidR="002D7F5A" w:rsidRPr="00D97CE0">
        <w:rPr>
          <w:rFonts w:ascii="Times New Roman" w:hAnsi="Times New Roman" w:cs="Times New Roman"/>
          <w:sz w:val="28"/>
          <w:szCs w:val="28"/>
        </w:rPr>
        <w:t>join</w:t>
      </w:r>
      <w:r w:rsidR="008B00E4" w:rsidRPr="00D97CE0">
        <w:rPr>
          <w:rFonts w:ascii="Times New Roman" w:hAnsi="Times New Roman" w:cs="Times New Roman"/>
          <w:sz w:val="28"/>
          <w:szCs w:val="28"/>
        </w:rPr>
        <w:t xml:space="preserve"> in this conference, we are aiming for 250 conference participants, along with our Services for the Blind and Vision Impaired (SBVI) staff and leadership of Vocational Rehabilitation—New Hampshire.</w:t>
      </w:r>
      <w:r w:rsidR="00506961" w:rsidRPr="00D97CE0">
        <w:rPr>
          <w:rFonts w:ascii="Times New Roman" w:hAnsi="Times New Roman" w:cs="Times New Roman"/>
          <w:sz w:val="28"/>
          <w:szCs w:val="28"/>
        </w:rPr>
        <w:t xml:space="preserve"> We do not, however, have an upper limit, except that imposed by the capacity limit of the venue that the successful bidder will help SBVI to identify.</w:t>
      </w:r>
    </w:p>
    <w:p w14:paraId="2A3B3980" w14:textId="77777777" w:rsidR="00BD4961" w:rsidRDefault="00BD4961" w:rsidP="00D97CE0">
      <w:pPr>
        <w:rPr>
          <w:rFonts w:ascii="Times New Roman" w:hAnsi="Times New Roman" w:cs="Times New Roman"/>
          <w:sz w:val="28"/>
          <w:szCs w:val="28"/>
        </w:rPr>
      </w:pPr>
    </w:p>
    <w:p w14:paraId="39187FC7" w14:textId="77777777" w:rsidR="002D7F5A" w:rsidRPr="00D97CE0" w:rsidRDefault="002D7F5A" w:rsidP="00D97CE0">
      <w:pPr>
        <w:rPr>
          <w:rFonts w:ascii="Times New Roman" w:hAnsi="Times New Roman" w:cs="Times New Roman"/>
          <w:sz w:val="28"/>
          <w:szCs w:val="28"/>
        </w:rPr>
      </w:pPr>
    </w:p>
    <w:p w14:paraId="74A7D1D9" w14:textId="77777777" w:rsidR="004323CC" w:rsidRPr="00D97CE0" w:rsidRDefault="00506961" w:rsidP="00D97CE0">
      <w:pPr>
        <w:pStyle w:val="ListParagraph"/>
        <w:numPr>
          <w:ilvl w:val="0"/>
          <w:numId w:val="2"/>
        </w:numPr>
        <w:ind w:left="0"/>
        <w:rPr>
          <w:rFonts w:ascii="Times New Roman" w:hAnsi="Times New Roman" w:cs="Times New Roman"/>
          <w:b/>
          <w:bCs/>
          <w:sz w:val="28"/>
          <w:szCs w:val="28"/>
        </w:rPr>
      </w:pPr>
      <w:r w:rsidRPr="00D97CE0">
        <w:rPr>
          <w:rFonts w:ascii="Times New Roman" w:hAnsi="Times New Roman" w:cs="Times New Roman"/>
          <w:b/>
          <w:bCs/>
          <w:sz w:val="28"/>
          <w:szCs w:val="28"/>
        </w:rPr>
        <w:t>How many sessions and presenters are anticipated?</w:t>
      </w:r>
    </w:p>
    <w:p w14:paraId="23A0212D" w14:textId="7BEACADC" w:rsidR="00506961" w:rsidRDefault="004323CC" w:rsidP="00D97CE0">
      <w:pPr>
        <w:rPr>
          <w:rFonts w:ascii="Times New Roman" w:hAnsi="Times New Roman" w:cs="Times New Roman"/>
          <w:sz w:val="28"/>
          <w:szCs w:val="28"/>
        </w:rPr>
      </w:pPr>
      <w:r w:rsidRPr="002D7F5A">
        <w:rPr>
          <w:rFonts w:ascii="Times New Roman" w:hAnsi="Times New Roman" w:cs="Times New Roman"/>
          <w:b/>
          <w:bCs/>
          <w:sz w:val="28"/>
          <w:szCs w:val="28"/>
        </w:rPr>
        <w:t>An</w:t>
      </w:r>
      <w:r w:rsidR="00506961" w:rsidRPr="002D7F5A">
        <w:rPr>
          <w:rFonts w:ascii="Times New Roman" w:hAnsi="Times New Roman" w:cs="Times New Roman"/>
          <w:b/>
          <w:bCs/>
          <w:sz w:val="28"/>
          <w:szCs w:val="28"/>
        </w:rPr>
        <w:t>swer:</w:t>
      </w:r>
      <w:r w:rsidR="00506961" w:rsidRPr="00D97CE0">
        <w:rPr>
          <w:rFonts w:ascii="Times New Roman" w:hAnsi="Times New Roman" w:cs="Times New Roman"/>
          <w:sz w:val="28"/>
          <w:szCs w:val="28"/>
        </w:rPr>
        <w:t xml:space="preserve"> SBVI will be entirely in charge of developing the substance of the program for this conference. Our Conference Planning Committee, once the vendor for this RFP is identified, will commence its work on planning the conference structure. We know that this will be a two-day conference, likely representing a full first day of activity, and an evening banquet, and likely a three quarters day of programming, to facilitate participants returning to their homes in New Hampshire. We anticipate several plenary keynote speakers, several follow-along panel discussions to amplify the messages conveyed by the keynote presenters, and break-out sessions</w:t>
      </w:r>
      <w:r w:rsidRPr="00D97CE0">
        <w:rPr>
          <w:rFonts w:ascii="Times New Roman" w:hAnsi="Times New Roman" w:cs="Times New Roman"/>
          <w:sz w:val="28"/>
          <w:szCs w:val="28"/>
        </w:rPr>
        <w:t xml:space="preserve"> following the panel presentations. I suspect that this pattern will be repeated four to five times during the two-day conference and contingent on the subject matter being discussed,</w:t>
      </w:r>
      <w:r w:rsidR="00506961" w:rsidRPr="00D97CE0">
        <w:rPr>
          <w:rFonts w:ascii="Times New Roman" w:hAnsi="Times New Roman" w:cs="Times New Roman"/>
          <w:sz w:val="28"/>
          <w:szCs w:val="28"/>
        </w:rPr>
        <w:t xml:space="preserve"> </w:t>
      </w:r>
      <w:r w:rsidRPr="00D97CE0">
        <w:rPr>
          <w:rFonts w:ascii="Times New Roman" w:hAnsi="Times New Roman" w:cs="Times New Roman"/>
          <w:sz w:val="28"/>
          <w:szCs w:val="28"/>
        </w:rPr>
        <w:t>availability of keynote and panel members, time for stretch and other appropriate pauses, and the like. In general, a panel will have three presenters and each break-out session will be co-facilitated by two substantive experts.</w:t>
      </w:r>
    </w:p>
    <w:p w14:paraId="79754464" w14:textId="22CDB4E1" w:rsidR="002D7F5A" w:rsidRDefault="002D7F5A" w:rsidP="00D97CE0">
      <w:pPr>
        <w:rPr>
          <w:rFonts w:ascii="Times New Roman" w:hAnsi="Times New Roman" w:cs="Times New Roman"/>
          <w:sz w:val="28"/>
          <w:szCs w:val="28"/>
        </w:rPr>
      </w:pPr>
    </w:p>
    <w:p w14:paraId="48A0DBA7" w14:textId="77777777" w:rsidR="002D7F5A" w:rsidRDefault="002D7F5A" w:rsidP="00D97CE0">
      <w:pPr>
        <w:rPr>
          <w:rFonts w:ascii="Times New Roman" w:hAnsi="Times New Roman" w:cs="Times New Roman"/>
          <w:sz w:val="28"/>
          <w:szCs w:val="28"/>
        </w:rPr>
      </w:pPr>
    </w:p>
    <w:p w14:paraId="7E72F982" w14:textId="77777777" w:rsidR="002D7F5A" w:rsidRPr="00D97CE0" w:rsidRDefault="002D7F5A" w:rsidP="00D97CE0">
      <w:pPr>
        <w:rPr>
          <w:rFonts w:ascii="Times New Roman" w:hAnsi="Times New Roman" w:cs="Times New Roman"/>
          <w:sz w:val="28"/>
          <w:szCs w:val="28"/>
        </w:rPr>
      </w:pPr>
    </w:p>
    <w:p w14:paraId="71B1EBD2" w14:textId="4F5CD5E7" w:rsidR="00942767" w:rsidRPr="00D97CE0" w:rsidRDefault="00230CEF" w:rsidP="00D97CE0">
      <w:pPr>
        <w:pStyle w:val="ListParagraph"/>
        <w:numPr>
          <w:ilvl w:val="0"/>
          <w:numId w:val="2"/>
        </w:numPr>
        <w:ind w:left="0"/>
        <w:rPr>
          <w:rFonts w:ascii="Times New Roman" w:hAnsi="Times New Roman" w:cs="Times New Roman"/>
          <w:b/>
          <w:bCs/>
          <w:sz w:val="28"/>
          <w:szCs w:val="28"/>
        </w:rPr>
      </w:pPr>
      <w:r w:rsidRPr="00D97CE0">
        <w:rPr>
          <w:rFonts w:ascii="Times New Roman" w:hAnsi="Times New Roman" w:cs="Times New Roman"/>
          <w:b/>
          <w:bCs/>
          <w:sz w:val="28"/>
          <w:szCs w:val="28"/>
        </w:rPr>
        <w:t>Will the contractor be responsible for the layout of the agenda or any other graphic design?</w:t>
      </w:r>
    </w:p>
    <w:p w14:paraId="3786D084" w14:textId="35668FB2" w:rsidR="00230CEF" w:rsidRDefault="00230CEF"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Pr="00D97CE0">
        <w:rPr>
          <w:rFonts w:ascii="Times New Roman" w:hAnsi="Times New Roman" w:cs="Times New Roman"/>
          <w:sz w:val="28"/>
          <w:szCs w:val="28"/>
        </w:rPr>
        <w:t xml:space="preserve"> While SBVI’s Conference Planning Committee will be responsible for the substance of the program, we will expect the successful bidder to arrange the layout of the print agenda. Vocational Rehabilitation-New Hampshire has recently contracted with a marketing firm that has supported our agency in the adoption of logos and the like. We would expect that these logos would be used in the formatting</w:t>
      </w:r>
      <w:r w:rsidR="00451789" w:rsidRPr="00D97CE0">
        <w:rPr>
          <w:rFonts w:ascii="Times New Roman" w:hAnsi="Times New Roman" w:cs="Times New Roman"/>
          <w:sz w:val="28"/>
          <w:szCs w:val="28"/>
        </w:rPr>
        <w:t xml:space="preserve"> and graphic design of the print agenda</w:t>
      </w:r>
      <w:r w:rsidRPr="00D97CE0">
        <w:rPr>
          <w:rFonts w:ascii="Times New Roman" w:hAnsi="Times New Roman" w:cs="Times New Roman"/>
          <w:sz w:val="28"/>
          <w:szCs w:val="28"/>
        </w:rPr>
        <w:t>. SBVI will be responsible for having the agenda formatted, transcribed, and embossed into Braille, unless the successful bidder has this experience and capacity.</w:t>
      </w:r>
    </w:p>
    <w:p w14:paraId="3AA36C3E" w14:textId="183D43E7" w:rsidR="002D7F5A" w:rsidRDefault="002D7F5A" w:rsidP="00D97CE0">
      <w:pPr>
        <w:rPr>
          <w:rFonts w:ascii="Times New Roman" w:hAnsi="Times New Roman" w:cs="Times New Roman"/>
          <w:sz w:val="28"/>
          <w:szCs w:val="28"/>
        </w:rPr>
      </w:pPr>
    </w:p>
    <w:p w14:paraId="0162C35F" w14:textId="77777777" w:rsidR="00BD4961" w:rsidRPr="00D97CE0" w:rsidRDefault="00BD4961" w:rsidP="00D97CE0">
      <w:pPr>
        <w:rPr>
          <w:rFonts w:ascii="Times New Roman" w:hAnsi="Times New Roman" w:cs="Times New Roman"/>
          <w:sz w:val="28"/>
          <w:szCs w:val="28"/>
        </w:rPr>
      </w:pPr>
    </w:p>
    <w:p w14:paraId="7ADF33C0" w14:textId="1A9C2B54" w:rsidR="00451789" w:rsidRPr="00D97CE0" w:rsidRDefault="00451789" w:rsidP="00D97CE0">
      <w:pPr>
        <w:pStyle w:val="ListParagraph"/>
        <w:numPr>
          <w:ilvl w:val="0"/>
          <w:numId w:val="2"/>
        </w:numPr>
        <w:ind w:left="0"/>
        <w:rPr>
          <w:rFonts w:ascii="Times New Roman" w:hAnsi="Times New Roman" w:cs="Times New Roman"/>
          <w:b/>
          <w:bCs/>
          <w:sz w:val="28"/>
          <w:szCs w:val="28"/>
        </w:rPr>
      </w:pPr>
      <w:r w:rsidRPr="00D97CE0">
        <w:rPr>
          <w:rFonts w:ascii="Times New Roman" w:hAnsi="Times New Roman" w:cs="Times New Roman"/>
          <w:b/>
          <w:bCs/>
          <w:sz w:val="28"/>
          <w:szCs w:val="28"/>
        </w:rPr>
        <w:t xml:space="preserve">Should the contractor include pricing for materials such as agendas, name tags, signage, </w:t>
      </w:r>
      <w:r w:rsidR="000B5321" w:rsidRPr="00D97CE0">
        <w:rPr>
          <w:rFonts w:ascii="Times New Roman" w:hAnsi="Times New Roman" w:cs="Times New Roman"/>
          <w:b/>
          <w:bCs/>
          <w:sz w:val="28"/>
          <w:szCs w:val="28"/>
        </w:rPr>
        <w:t xml:space="preserve">tote bags, </w:t>
      </w:r>
      <w:r w:rsidRPr="00D97CE0">
        <w:rPr>
          <w:rFonts w:ascii="Times New Roman" w:hAnsi="Times New Roman" w:cs="Times New Roman"/>
          <w:b/>
          <w:bCs/>
          <w:sz w:val="28"/>
          <w:szCs w:val="28"/>
        </w:rPr>
        <w:t>or other giveaways in the quote?</w:t>
      </w:r>
    </w:p>
    <w:p w14:paraId="07D0C98E" w14:textId="3E9F4C0A" w:rsidR="00451789" w:rsidRPr="00D97CE0" w:rsidRDefault="00451789"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Pr="00D97CE0">
        <w:rPr>
          <w:rFonts w:ascii="Times New Roman" w:hAnsi="Times New Roman" w:cs="Times New Roman"/>
          <w:sz w:val="28"/>
          <w:szCs w:val="28"/>
        </w:rPr>
        <w:t xml:space="preserve"> </w:t>
      </w:r>
      <w:proofErr w:type="gramStart"/>
      <w:r w:rsidRPr="00D97CE0">
        <w:rPr>
          <w:rFonts w:ascii="Times New Roman" w:hAnsi="Times New Roman" w:cs="Times New Roman"/>
          <w:sz w:val="28"/>
          <w:szCs w:val="28"/>
        </w:rPr>
        <w:t>Yes</w:t>
      </w:r>
      <w:proofErr w:type="gramEnd"/>
      <w:r w:rsidR="00646664" w:rsidRPr="00D97CE0">
        <w:rPr>
          <w:rFonts w:ascii="Times New Roman" w:hAnsi="Times New Roman" w:cs="Times New Roman"/>
          <w:sz w:val="28"/>
          <w:szCs w:val="28"/>
        </w:rPr>
        <w:t xml:space="preserve"> for most items listed.  The exception being </w:t>
      </w:r>
      <w:r w:rsidR="00B01136" w:rsidRPr="00D97CE0">
        <w:rPr>
          <w:rFonts w:ascii="Times New Roman" w:hAnsi="Times New Roman" w:cs="Times New Roman"/>
          <w:sz w:val="28"/>
          <w:szCs w:val="28"/>
        </w:rPr>
        <w:t>according to the Uniform Grant Guidance in CFR 200.421:</w:t>
      </w:r>
    </w:p>
    <w:p w14:paraId="781075E1" w14:textId="77777777" w:rsidR="00B01136" w:rsidRPr="00D97CE0" w:rsidRDefault="00B01136" w:rsidP="00D97CE0">
      <w:pPr>
        <w:pStyle w:val="indent-1"/>
        <w:spacing w:before="0" w:beforeAutospacing="0" w:after="0" w:afterAutospacing="0"/>
        <w:rPr>
          <w:i/>
          <w:iCs/>
          <w:sz w:val="28"/>
          <w:szCs w:val="28"/>
        </w:rPr>
      </w:pPr>
      <w:r w:rsidRPr="00D97CE0">
        <w:rPr>
          <w:i/>
          <w:iCs/>
          <w:sz w:val="28"/>
          <w:szCs w:val="28"/>
        </w:rPr>
        <w:t xml:space="preserve">The term advertising costs means the costs of advertising media and corollary administrative costs. Advertising media include magazines, newspapers, radio and television, direct mail, exhibits, electronic or computer transmittals, and the like. </w:t>
      </w:r>
    </w:p>
    <w:p w14:paraId="2A873412" w14:textId="77777777" w:rsidR="00B01136" w:rsidRPr="00D97CE0" w:rsidRDefault="00B01136" w:rsidP="00D97CE0">
      <w:pPr>
        <w:pStyle w:val="indent-1"/>
        <w:spacing w:before="0" w:beforeAutospacing="0" w:after="0" w:afterAutospacing="0"/>
        <w:rPr>
          <w:i/>
          <w:iCs/>
          <w:sz w:val="28"/>
          <w:szCs w:val="28"/>
          <w:u w:val="single"/>
        </w:rPr>
      </w:pPr>
      <w:r w:rsidRPr="00D97CE0">
        <w:rPr>
          <w:rStyle w:val="paren"/>
          <w:i/>
          <w:iCs/>
          <w:sz w:val="28"/>
          <w:szCs w:val="28"/>
          <w:u w:val="single"/>
        </w:rPr>
        <w:t>(</w:t>
      </w:r>
      <w:r w:rsidRPr="00D97CE0">
        <w:rPr>
          <w:rStyle w:val="paragraph-hierarchy"/>
          <w:i/>
          <w:iCs/>
          <w:sz w:val="28"/>
          <w:szCs w:val="28"/>
          <w:u w:val="single"/>
        </w:rPr>
        <w:t>b</w:t>
      </w:r>
      <w:r w:rsidRPr="00D97CE0">
        <w:rPr>
          <w:rStyle w:val="paren"/>
          <w:i/>
          <w:iCs/>
          <w:sz w:val="28"/>
          <w:szCs w:val="28"/>
          <w:u w:val="single"/>
        </w:rPr>
        <w:t>)</w:t>
      </w:r>
      <w:r w:rsidRPr="00D97CE0">
        <w:rPr>
          <w:i/>
          <w:iCs/>
          <w:sz w:val="28"/>
          <w:szCs w:val="28"/>
          <w:u w:val="single"/>
        </w:rPr>
        <w:t xml:space="preserve"> The only allowable advertising costs are those which are solely for:</w:t>
      </w:r>
    </w:p>
    <w:p w14:paraId="1FE56FC8"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1</w:t>
      </w:r>
      <w:r w:rsidRPr="00D97CE0">
        <w:rPr>
          <w:rStyle w:val="paren"/>
          <w:i/>
          <w:iCs/>
          <w:sz w:val="28"/>
          <w:szCs w:val="28"/>
        </w:rPr>
        <w:t>)</w:t>
      </w:r>
      <w:r w:rsidRPr="00D97CE0">
        <w:rPr>
          <w:i/>
          <w:iCs/>
          <w:sz w:val="28"/>
          <w:szCs w:val="28"/>
        </w:rPr>
        <w:t xml:space="preserve"> The recruitment of personnel required by the non-Federal entity for performance of a Federal award (See also </w:t>
      </w:r>
      <w:hyperlink r:id="rId7" w:history="1">
        <w:r w:rsidRPr="00D97CE0">
          <w:rPr>
            <w:rStyle w:val="Hyperlink"/>
            <w:i/>
            <w:iCs/>
            <w:sz w:val="28"/>
            <w:szCs w:val="28"/>
          </w:rPr>
          <w:t>§ 200.463</w:t>
        </w:r>
      </w:hyperlink>
      <w:proofErr w:type="gramStart"/>
      <w:r w:rsidRPr="00D97CE0">
        <w:rPr>
          <w:i/>
          <w:iCs/>
          <w:sz w:val="28"/>
          <w:szCs w:val="28"/>
        </w:rPr>
        <w:t>);</w:t>
      </w:r>
      <w:proofErr w:type="gramEnd"/>
      <w:r w:rsidRPr="00D97CE0">
        <w:rPr>
          <w:i/>
          <w:iCs/>
          <w:sz w:val="28"/>
          <w:szCs w:val="28"/>
        </w:rPr>
        <w:t xml:space="preserve"> </w:t>
      </w:r>
    </w:p>
    <w:p w14:paraId="3FFE0BF2"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2</w:t>
      </w:r>
      <w:r w:rsidRPr="00D97CE0">
        <w:rPr>
          <w:rStyle w:val="paren"/>
          <w:i/>
          <w:iCs/>
          <w:sz w:val="28"/>
          <w:szCs w:val="28"/>
        </w:rPr>
        <w:t>)</w:t>
      </w:r>
      <w:r w:rsidRPr="00D97CE0">
        <w:rPr>
          <w:i/>
          <w:iCs/>
          <w:sz w:val="28"/>
          <w:szCs w:val="28"/>
        </w:rPr>
        <w:t xml:space="preserve"> The procurement of goods and services for the performance of a Federal </w:t>
      </w:r>
      <w:proofErr w:type="gramStart"/>
      <w:r w:rsidRPr="00D97CE0">
        <w:rPr>
          <w:i/>
          <w:iCs/>
          <w:sz w:val="28"/>
          <w:szCs w:val="28"/>
        </w:rPr>
        <w:t>award;</w:t>
      </w:r>
      <w:proofErr w:type="gramEnd"/>
      <w:r w:rsidRPr="00D97CE0">
        <w:rPr>
          <w:i/>
          <w:iCs/>
          <w:sz w:val="28"/>
          <w:szCs w:val="28"/>
        </w:rPr>
        <w:t xml:space="preserve"> </w:t>
      </w:r>
    </w:p>
    <w:p w14:paraId="101D16E9"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3</w:t>
      </w:r>
      <w:r w:rsidRPr="00D97CE0">
        <w:rPr>
          <w:rStyle w:val="paren"/>
          <w:i/>
          <w:iCs/>
          <w:sz w:val="28"/>
          <w:szCs w:val="28"/>
        </w:rPr>
        <w:t>)</w:t>
      </w:r>
      <w:r w:rsidRPr="00D97CE0">
        <w:rPr>
          <w:i/>
          <w:iCs/>
          <w:sz w:val="28"/>
          <w:szCs w:val="28"/>
        </w:rPr>
        <w:t xml:space="preserve"> The disposal of scrap or surplus materials acquired in the performance of a </w:t>
      </w:r>
      <w:proofErr w:type="gramStart"/>
      <w:r w:rsidRPr="00D97CE0">
        <w:rPr>
          <w:i/>
          <w:iCs/>
          <w:sz w:val="28"/>
          <w:szCs w:val="28"/>
        </w:rPr>
        <w:t>Federal</w:t>
      </w:r>
      <w:proofErr w:type="gramEnd"/>
      <w:r w:rsidRPr="00D97CE0">
        <w:rPr>
          <w:i/>
          <w:iCs/>
          <w:sz w:val="28"/>
          <w:szCs w:val="28"/>
        </w:rPr>
        <w:t xml:space="preserve"> award except when non-Federal entities are reimbursed for disposal costs at a predetermined amount; or </w:t>
      </w:r>
    </w:p>
    <w:p w14:paraId="4704B3DF"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4</w:t>
      </w:r>
      <w:r w:rsidRPr="00D97CE0">
        <w:rPr>
          <w:rStyle w:val="paren"/>
          <w:i/>
          <w:iCs/>
          <w:sz w:val="28"/>
          <w:szCs w:val="28"/>
        </w:rPr>
        <w:t>)</w:t>
      </w:r>
      <w:r w:rsidRPr="00D97CE0">
        <w:rPr>
          <w:i/>
          <w:iCs/>
          <w:sz w:val="28"/>
          <w:szCs w:val="28"/>
        </w:rPr>
        <w:t xml:space="preserve"> Program outreach and other specific purposes necessary to meet the requirements of the Federal award. </w:t>
      </w:r>
    </w:p>
    <w:p w14:paraId="1A7559F1" w14:textId="77777777" w:rsidR="00B01136" w:rsidRPr="00D97CE0" w:rsidRDefault="00B01136" w:rsidP="00D97CE0">
      <w:pPr>
        <w:pStyle w:val="indent-1"/>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c</w:t>
      </w:r>
      <w:r w:rsidRPr="00D97CE0">
        <w:rPr>
          <w:rStyle w:val="paren"/>
          <w:i/>
          <w:iCs/>
          <w:sz w:val="28"/>
          <w:szCs w:val="28"/>
        </w:rPr>
        <w:t>)</w:t>
      </w:r>
      <w:r w:rsidRPr="00D97CE0">
        <w:rPr>
          <w:i/>
          <w:iCs/>
          <w:sz w:val="28"/>
          <w:szCs w:val="28"/>
        </w:rPr>
        <w:t xml:space="preserve"> The term “public relations” includes community relations and means those activities dedicated to maintaining the image of the non-Federal entity or maintaining or promoting understanding and favorable relations with the community or public at large or any segment of the public. </w:t>
      </w:r>
    </w:p>
    <w:p w14:paraId="2308238E" w14:textId="77777777" w:rsidR="00B01136" w:rsidRPr="00D97CE0" w:rsidRDefault="00B01136" w:rsidP="00D97CE0">
      <w:pPr>
        <w:pStyle w:val="indent-1"/>
        <w:spacing w:before="0" w:beforeAutospacing="0" w:after="0" w:afterAutospacing="0"/>
        <w:rPr>
          <w:i/>
          <w:iCs/>
          <w:sz w:val="28"/>
          <w:szCs w:val="28"/>
          <w:u w:val="single"/>
        </w:rPr>
      </w:pPr>
      <w:r w:rsidRPr="00D97CE0">
        <w:rPr>
          <w:rStyle w:val="paren"/>
          <w:i/>
          <w:iCs/>
          <w:sz w:val="28"/>
          <w:szCs w:val="28"/>
          <w:u w:val="single"/>
        </w:rPr>
        <w:t>(</w:t>
      </w:r>
      <w:r w:rsidRPr="00D97CE0">
        <w:rPr>
          <w:rStyle w:val="paragraph-hierarchy"/>
          <w:i/>
          <w:iCs/>
          <w:sz w:val="28"/>
          <w:szCs w:val="28"/>
          <w:u w:val="single"/>
        </w:rPr>
        <w:t>d</w:t>
      </w:r>
      <w:r w:rsidRPr="00D97CE0">
        <w:rPr>
          <w:rStyle w:val="paren"/>
          <w:i/>
          <w:iCs/>
          <w:sz w:val="28"/>
          <w:szCs w:val="28"/>
          <w:u w:val="single"/>
        </w:rPr>
        <w:t>)</w:t>
      </w:r>
      <w:r w:rsidRPr="00D97CE0">
        <w:rPr>
          <w:i/>
          <w:iCs/>
          <w:sz w:val="28"/>
          <w:szCs w:val="28"/>
          <w:u w:val="single"/>
        </w:rPr>
        <w:t xml:space="preserve"> The only allowable public relations costs are: </w:t>
      </w:r>
    </w:p>
    <w:p w14:paraId="0A48D07C"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lastRenderedPageBreak/>
        <w:t>(</w:t>
      </w:r>
      <w:r w:rsidRPr="00D97CE0">
        <w:rPr>
          <w:rStyle w:val="paragraph-hierarchy"/>
          <w:i/>
          <w:iCs/>
          <w:sz w:val="28"/>
          <w:szCs w:val="28"/>
        </w:rPr>
        <w:t>1</w:t>
      </w:r>
      <w:r w:rsidRPr="00D97CE0">
        <w:rPr>
          <w:rStyle w:val="paren"/>
          <w:i/>
          <w:iCs/>
          <w:sz w:val="28"/>
          <w:szCs w:val="28"/>
        </w:rPr>
        <w:t>)</w:t>
      </w:r>
      <w:r w:rsidRPr="00D97CE0">
        <w:rPr>
          <w:i/>
          <w:iCs/>
          <w:sz w:val="28"/>
          <w:szCs w:val="28"/>
        </w:rPr>
        <w:t xml:space="preserve"> Costs specifically required by the Federal </w:t>
      </w:r>
      <w:proofErr w:type="gramStart"/>
      <w:r w:rsidRPr="00D97CE0">
        <w:rPr>
          <w:i/>
          <w:iCs/>
          <w:sz w:val="28"/>
          <w:szCs w:val="28"/>
        </w:rPr>
        <w:t>award;</w:t>
      </w:r>
      <w:proofErr w:type="gramEnd"/>
      <w:r w:rsidRPr="00D97CE0">
        <w:rPr>
          <w:i/>
          <w:iCs/>
          <w:sz w:val="28"/>
          <w:szCs w:val="28"/>
        </w:rPr>
        <w:t xml:space="preserve"> </w:t>
      </w:r>
    </w:p>
    <w:p w14:paraId="2672ECFB"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2</w:t>
      </w:r>
      <w:r w:rsidRPr="00D97CE0">
        <w:rPr>
          <w:rStyle w:val="paren"/>
          <w:i/>
          <w:iCs/>
          <w:sz w:val="28"/>
          <w:szCs w:val="28"/>
        </w:rPr>
        <w:t>)</w:t>
      </w:r>
      <w:r w:rsidRPr="00D97CE0">
        <w:rPr>
          <w:i/>
          <w:iCs/>
          <w:sz w:val="28"/>
          <w:szCs w:val="28"/>
        </w:rPr>
        <w:t xml:space="preserve"> Costs of communicating with the public and press pertaining to specific activities or accomplishments which result from performance of the Federal award (these costs are considered necessary as part of the outreach effort for the Federal award); or </w:t>
      </w:r>
    </w:p>
    <w:p w14:paraId="21FA1B0C"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3</w:t>
      </w:r>
      <w:r w:rsidRPr="00D97CE0">
        <w:rPr>
          <w:rStyle w:val="paren"/>
          <w:i/>
          <w:iCs/>
          <w:sz w:val="28"/>
          <w:szCs w:val="28"/>
        </w:rPr>
        <w:t>)</w:t>
      </w:r>
      <w:r w:rsidRPr="00D97CE0">
        <w:rPr>
          <w:i/>
          <w:iCs/>
          <w:sz w:val="28"/>
          <w:szCs w:val="28"/>
        </w:rPr>
        <w:t xml:space="preserve"> 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12EC683D" w14:textId="77777777" w:rsidR="00B01136" w:rsidRPr="00D97CE0" w:rsidRDefault="00B01136" w:rsidP="00D97CE0">
      <w:pPr>
        <w:pStyle w:val="indent-1"/>
        <w:spacing w:before="0" w:beforeAutospacing="0" w:after="0" w:afterAutospacing="0"/>
        <w:rPr>
          <w:i/>
          <w:iCs/>
          <w:sz w:val="28"/>
          <w:szCs w:val="28"/>
          <w:u w:val="single"/>
        </w:rPr>
      </w:pPr>
      <w:r w:rsidRPr="00D97CE0">
        <w:rPr>
          <w:rStyle w:val="paren"/>
          <w:i/>
          <w:iCs/>
          <w:sz w:val="28"/>
          <w:szCs w:val="28"/>
          <w:u w:val="single"/>
        </w:rPr>
        <w:t>(</w:t>
      </w:r>
      <w:r w:rsidRPr="00D97CE0">
        <w:rPr>
          <w:rStyle w:val="paragraph-hierarchy"/>
          <w:i/>
          <w:iCs/>
          <w:sz w:val="28"/>
          <w:szCs w:val="28"/>
          <w:u w:val="single"/>
        </w:rPr>
        <w:t>e</w:t>
      </w:r>
      <w:r w:rsidRPr="00D97CE0">
        <w:rPr>
          <w:rStyle w:val="paren"/>
          <w:i/>
          <w:iCs/>
          <w:sz w:val="28"/>
          <w:szCs w:val="28"/>
          <w:u w:val="single"/>
        </w:rPr>
        <w:t>)</w:t>
      </w:r>
      <w:r w:rsidRPr="00D97CE0">
        <w:rPr>
          <w:i/>
          <w:iCs/>
          <w:sz w:val="28"/>
          <w:szCs w:val="28"/>
          <w:u w:val="single"/>
        </w:rPr>
        <w:t xml:space="preserve"> Unallowable advertising and public relations costs include the following: </w:t>
      </w:r>
    </w:p>
    <w:p w14:paraId="1267AD93"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1</w:t>
      </w:r>
      <w:r w:rsidRPr="00D97CE0">
        <w:rPr>
          <w:rStyle w:val="paren"/>
          <w:i/>
          <w:iCs/>
          <w:sz w:val="28"/>
          <w:szCs w:val="28"/>
        </w:rPr>
        <w:t>)</w:t>
      </w:r>
      <w:r w:rsidRPr="00D97CE0">
        <w:rPr>
          <w:i/>
          <w:iCs/>
          <w:sz w:val="28"/>
          <w:szCs w:val="28"/>
        </w:rPr>
        <w:t xml:space="preserve"> All advertising and public relations costs other than as specified in </w:t>
      </w:r>
      <w:hyperlink r:id="rId8" w:anchor="p-200.421(b)" w:history="1">
        <w:r w:rsidRPr="00D97CE0">
          <w:rPr>
            <w:rStyle w:val="Hyperlink"/>
            <w:i/>
            <w:iCs/>
            <w:sz w:val="28"/>
            <w:szCs w:val="28"/>
          </w:rPr>
          <w:t>paragraphs (b)</w:t>
        </w:r>
      </w:hyperlink>
      <w:r w:rsidRPr="00D97CE0">
        <w:rPr>
          <w:i/>
          <w:iCs/>
          <w:sz w:val="28"/>
          <w:szCs w:val="28"/>
        </w:rPr>
        <w:t xml:space="preserve"> and </w:t>
      </w:r>
      <w:hyperlink r:id="rId9" w:anchor="p-200.421(d)" w:history="1">
        <w:r w:rsidRPr="00D97CE0">
          <w:rPr>
            <w:rStyle w:val="Hyperlink"/>
            <w:i/>
            <w:iCs/>
            <w:sz w:val="28"/>
            <w:szCs w:val="28"/>
          </w:rPr>
          <w:t>(d)</w:t>
        </w:r>
      </w:hyperlink>
      <w:r w:rsidRPr="00D97CE0">
        <w:rPr>
          <w:i/>
          <w:iCs/>
          <w:sz w:val="28"/>
          <w:szCs w:val="28"/>
        </w:rPr>
        <w:t xml:space="preserve"> of this section; </w:t>
      </w:r>
    </w:p>
    <w:p w14:paraId="2E7AA9D5"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2</w:t>
      </w:r>
      <w:r w:rsidRPr="00D97CE0">
        <w:rPr>
          <w:rStyle w:val="paren"/>
          <w:i/>
          <w:iCs/>
          <w:sz w:val="28"/>
          <w:szCs w:val="28"/>
        </w:rPr>
        <w:t>)</w:t>
      </w:r>
      <w:r w:rsidRPr="00D97CE0">
        <w:rPr>
          <w:i/>
          <w:iCs/>
          <w:sz w:val="28"/>
          <w:szCs w:val="28"/>
        </w:rPr>
        <w:t xml:space="preserve"> Costs of meetings, conventions, convocations, or other events related to other activities of the entity (see also </w:t>
      </w:r>
      <w:hyperlink r:id="rId10" w:history="1">
        <w:r w:rsidRPr="00D97CE0">
          <w:rPr>
            <w:rStyle w:val="Hyperlink"/>
            <w:i/>
            <w:iCs/>
            <w:sz w:val="28"/>
            <w:szCs w:val="28"/>
          </w:rPr>
          <w:t>§ 200.432</w:t>
        </w:r>
      </w:hyperlink>
      <w:r w:rsidRPr="00D97CE0">
        <w:rPr>
          <w:i/>
          <w:iCs/>
          <w:sz w:val="28"/>
          <w:szCs w:val="28"/>
        </w:rPr>
        <w:t xml:space="preserve">), including: </w:t>
      </w:r>
    </w:p>
    <w:p w14:paraId="32D22A85" w14:textId="77777777" w:rsidR="00B01136" w:rsidRPr="00D97CE0" w:rsidRDefault="00B01136" w:rsidP="00D97CE0">
      <w:pPr>
        <w:pStyle w:val="indent-3"/>
        <w:spacing w:before="0" w:beforeAutospacing="0" w:after="0" w:afterAutospacing="0"/>
        <w:rPr>
          <w:i/>
          <w:iCs/>
          <w:sz w:val="28"/>
          <w:szCs w:val="28"/>
        </w:rPr>
      </w:pPr>
      <w:r w:rsidRPr="00D97CE0">
        <w:rPr>
          <w:rStyle w:val="paren"/>
          <w:i/>
          <w:iCs/>
          <w:sz w:val="28"/>
          <w:szCs w:val="28"/>
        </w:rPr>
        <w:t>(</w:t>
      </w:r>
      <w:proofErr w:type="spellStart"/>
      <w:r w:rsidRPr="00D97CE0">
        <w:rPr>
          <w:rStyle w:val="paragraph-hierarchy"/>
          <w:i/>
          <w:iCs/>
          <w:sz w:val="28"/>
          <w:szCs w:val="28"/>
        </w:rPr>
        <w:t>i</w:t>
      </w:r>
      <w:proofErr w:type="spellEnd"/>
      <w:r w:rsidRPr="00D97CE0">
        <w:rPr>
          <w:rStyle w:val="paren"/>
          <w:i/>
          <w:iCs/>
          <w:sz w:val="28"/>
          <w:szCs w:val="28"/>
        </w:rPr>
        <w:t>)</w:t>
      </w:r>
      <w:r w:rsidRPr="00D97CE0">
        <w:rPr>
          <w:i/>
          <w:iCs/>
          <w:sz w:val="28"/>
          <w:szCs w:val="28"/>
        </w:rPr>
        <w:t xml:space="preserve"> Costs of displays, demonstrations, and </w:t>
      </w:r>
      <w:proofErr w:type="gramStart"/>
      <w:r w:rsidRPr="00D97CE0">
        <w:rPr>
          <w:i/>
          <w:iCs/>
          <w:sz w:val="28"/>
          <w:szCs w:val="28"/>
        </w:rPr>
        <w:t>exhibits;</w:t>
      </w:r>
      <w:proofErr w:type="gramEnd"/>
      <w:r w:rsidRPr="00D97CE0">
        <w:rPr>
          <w:i/>
          <w:iCs/>
          <w:sz w:val="28"/>
          <w:szCs w:val="28"/>
        </w:rPr>
        <w:t xml:space="preserve"> </w:t>
      </w:r>
    </w:p>
    <w:p w14:paraId="43B5F780" w14:textId="77777777" w:rsidR="00B01136" w:rsidRPr="00D97CE0" w:rsidRDefault="00B01136" w:rsidP="00D97CE0">
      <w:pPr>
        <w:pStyle w:val="indent-3"/>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ii</w:t>
      </w:r>
      <w:r w:rsidRPr="00D97CE0">
        <w:rPr>
          <w:rStyle w:val="paren"/>
          <w:i/>
          <w:iCs/>
          <w:sz w:val="28"/>
          <w:szCs w:val="28"/>
        </w:rPr>
        <w:t>)</w:t>
      </w:r>
      <w:r w:rsidRPr="00D97CE0">
        <w:rPr>
          <w:i/>
          <w:iCs/>
          <w:sz w:val="28"/>
          <w:szCs w:val="28"/>
        </w:rPr>
        <w:t xml:space="preserve"> Costs of meeting rooms, hospitality suites, and other special facilities used in conjunction with shows and other special events; and </w:t>
      </w:r>
    </w:p>
    <w:p w14:paraId="36E4B268" w14:textId="77777777" w:rsidR="00B01136" w:rsidRPr="00D97CE0" w:rsidRDefault="00B01136" w:rsidP="00D97CE0">
      <w:pPr>
        <w:pStyle w:val="indent-3"/>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iii</w:t>
      </w:r>
      <w:r w:rsidRPr="00D97CE0">
        <w:rPr>
          <w:rStyle w:val="paren"/>
          <w:i/>
          <w:iCs/>
          <w:sz w:val="28"/>
          <w:szCs w:val="28"/>
        </w:rPr>
        <w:t>)</w:t>
      </w:r>
      <w:r w:rsidRPr="00D97CE0">
        <w:rPr>
          <w:i/>
          <w:iCs/>
          <w:sz w:val="28"/>
          <w:szCs w:val="28"/>
        </w:rPr>
        <w:t xml:space="preserve"> Salaries and wages of employees engaged in setting up and displaying exhibits, making demonstrations, and providing </w:t>
      </w:r>
      <w:proofErr w:type="gramStart"/>
      <w:r w:rsidRPr="00D97CE0">
        <w:rPr>
          <w:i/>
          <w:iCs/>
          <w:sz w:val="28"/>
          <w:szCs w:val="28"/>
        </w:rPr>
        <w:t>briefings;</w:t>
      </w:r>
      <w:proofErr w:type="gramEnd"/>
      <w:r w:rsidRPr="00D97CE0">
        <w:rPr>
          <w:i/>
          <w:iCs/>
          <w:sz w:val="28"/>
          <w:szCs w:val="28"/>
        </w:rPr>
        <w:t xml:space="preserve"> </w:t>
      </w:r>
    </w:p>
    <w:p w14:paraId="7E9D0F80" w14:textId="77777777" w:rsidR="00B01136" w:rsidRPr="00D97CE0" w:rsidRDefault="00B01136" w:rsidP="00D97CE0">
      <w:pPr>
        <w:pStyle w:val="indent-2"/>
        <w:spacing w:before="0" w:beforeAutospacing="0" w:after="0" w:afterAutospacing="0"/>
        <w:rPr>
          <w:i/>
          <w:iCs/>
          <w:sz w:val="28"/>
          <w:szCs w:val="28"/>
          <w:u w:val="single"/>
        </w:rPr>
      </w:pPr>
      <w:r w:rsidRPr="00D97CE0">
        <w:rPr>
          <w:rStyle w:val="paren"/>
          <w:i/>
          <w:iCs/>
          <w:sz w:val="28"/>
          <w:szCs w:val="28"/>
          <w:u w:val="single"/>
        </w:rPr>
        <w:t>(</w:t>
      </w:r>
      <w:r w:rsidRPr="00D97CE0">
        <w:rPr>
          <w:rStyle w:val="paragraph-hierarchy"/>
          <w:i/>
          <w:iCs/>
          <w:sz w:val="28"/>
          <w:szCs w:val="28"/>
          <w:u w:val="single"/>
        </w:rPr>
        <w:t>3</w:t>
      </w:r>
      <w:r w:rsidRPr="00D97CE0">
        <w:rPr>
          <w:rStyle w:val="paren"/>
          <w:i/>
          <w:iCs/>
          <w:sz w:val="28"/>
          <w:szCs w:val="28"/>
          <w:u w:val="single"/>
        </w:rPr>
        <w:t>)</w:t>
      </w:r>
      <w:r w:rsidRPr="00D97CE0">
        <w:rPr>
          <w:i/>
          <w:iCs/>
          <w:sz w:val="28"/>
          <w:szCs w:val="28"/>
          <w:u w:val="single"/>
        </w:rPr>
        <w:t xml:space="preserve"> Costs of promotional items and memorabilia, including models, gifts, and </w:t>
      </w:r>
      <w:proofErr w:type="gramStart"/>
      <w:r w:rsidRPr="00D97CE0">
        <w:rPr>
          <w:i/>
          <w:iCs/>
          <w:sz w:val="28"/>
          <w:szCs w:val="28"/>
          <w:u w:val="single"/>
        </w:rPr>
        <w:t>souvenirs;</w:t>
      </w:r>
      <w:proofErr w:type="gramEnd"/>
      <w:r w:rsidRPr="00D97CE0">
        <w:rPr>
          <w:i/>
          <w:iCs/>
          <w:sz w:val="28"/>
          <w:szCs w:val="28"/>
          <w:u w:val="single"/>
        </w:rPr>
        <w:t xml:space="preserve"> </w:t>
      </w:r>
    </w:p>
    <w:p w14:paraId="6A68ABE4" w14:textId="77777777" w:rsidR="00B01136" w:rsidRPr="00D97CE0" w:rsidRDefault="00B01136" w:rsidP="00D97CE0">
      <w:pPr>
        <w:pStyle w:val="indent-2"/>
        <w:spacing w:before="0" w:beforeAutospacing="0" w:after="0" w:afterAutospacing="0"/>
        <w:rPr>
          <w:i/>
          <w:iCs/>
          <w:sz w:val="28"/>
          <w:szCs w:val="28"/>
        </w:rPr>
      </w:pPr>
      <w:r w:rsidRPr="00D97CE0">
        <w:rPr>
          <w:rStyle w:val="paren"/>
          <w:i/>
          <w:iCs/>
          <w:sz w:val="28"/>
          <w:szCs w:val="28"/>
        </w:rPr>
        <w:t>(</w:t>
      </w:r>
      <w:r w:rsidRPr="00D97CE0">
        <w:rPr>
          <w:rStyle w:val="paragraph-hierarchy"/>
          <w:i/>
          <w:iCs/>
          <w:sz w:val="28"/>
          <w:szCs w:val="28"/>
        </w:rPr>
        <w:t>4</w:t>
      </w:r>
      <w:r w:rsidRPr="00D97CE0">
        <w:rPr>
          <w:rStyle w:val="paren"/>
          <w:i/>
          <w:iCs/>
          <w:sz w:val="28"/>
          <w:szCs w:val="28"/>
        </w:rPr>
        <w:t>)</w:t>
      </w:r>
      <w:r w:rsidRPr="00D97CE0">
        <w:rPr>
          <w:i/>
          <w:iCs/>
          <w:sz w:val="28"/>
          <w:szCs w:val="28"/>
        </w:rPr>
        <w:t xml:space="preserve"> Costs of advertising and public relations designed solely to promote the non-Federal entity. </w:t>
      </w:r>
    </w:p>
    <w:p w14:paraId="4C97368C" w14:textId="44EDCDCE" w:rsidR="00B01136" w:rsidRDefault="00B01136" w:rsidP="00D97CE0">
      <w:pPr>
        <w:pStyle w:val="citation"/>
        <w:spacing w:before="0" w:beforeAutospacing="0" w:after="0" w:afterAutospacing="0"/>
        <w:rPr>
          <w:i/>
          <w:iCs/>
          <w:sz w:val="28"/>
          <w:szCs w:val="28"/>
        </w:rPr>
      </w:pPr>
      <w:r w:rsidRPr="00D97CE0">
        <w:rPr>
          <w:i/>
          <w:iCs/>
          <w:sz w:val="28"/>
          <w:szCs w:val="28"/>
        </w:rPr>
        <w:t>[</w:t>
      </w:r>
      <w:hyperlink r:id="rId11" w:history="1">
        <w:r w:rsidRPr="00D97CE0">
          <w:rPr>
            <w:rStyle w:val="Hyperlink"/>
            <w:i/>
            <w:iCs/>
            <w:sz w:val="28"/>
            <w:szCs w:val="28"/>
          </w:rPr>
          <w:t>78 FR 76808</w:t>
        </w:r>
      </w:hyperlink>
      <w:r w:rsidRPr="00D97CE0">
        <w:rPr>
          <w:i/>
          <w:iCs/>
          <w:sz w:val="28"/>
          <w:szCs w:val="28"/>
        </w:rPr>
        <w:t xml:space="preserve">, Dec. 26, 2013, as amended at </w:t>
      </w:r>
      <w:hyperlink r:id="rId12" w:history="1">
        <w:r w:rsidRPr="00D97CE0">
          <w:rPr>
            <w:rStyle w:val="Hyperlink"/>
            <w:i/>
            <w:iCs/>
            <w:sz w:val="28"/>
            <w:szCs w:val="28"/>
          </w:rPr>
          <w:t>85 FR 49564</w:t>
        </w:r>
      </w:hyperlink>
      <w:r w:rsidRPr="00D97CE0">
        <w:rPr>
          <w:i/>
          <w:iCs/>
          <w:sz w:val="28"/>
          <w:szCs w:val="28"/>
        </w:rPr>
        <w:t>, Aug. 13, 2020]</w:t>
      </w:r>
    </w:p>
    <w:p w14:paraId="71FD3DD0" w14:textId="1B394209" w:rsidR="00BD4961" w:rsidRDefault="00BD4961" w:rsidP="00D97CE0">
      <w:pPr>
        <w:pStyle w:val="citation"/>
        <w:spacing w:before="0" w:beforeAutospacing="0" w:after="0" w:afterAutospacing="0"/>
        <w:rPr>
          <w:i/>
          <w:iCs/>
          <w:sz w:val="28"/>
          <w:szCs w:val="28"/>
        </w:rPr>
      </w:pPr>
    </w:p>
    <w:p w14:paraId="7EA71547" w14:textId="77777777" w:rsidR="00BD4961" w:rsidRPr="00D97CE0" w:rsidRDefault="00BD4961" w:rsidP="00D97CE0">
      <w:pPr>
        <w:pStyle w:val="citation"/>
        <w:spacing w:before="0" w:beforeAutospacing="0" w:after="0" w:afterAutospacing="0"/>
        <w:rPr>
          <w:i/>
          <w:iCs/>
          <w:sz w:val="28"/>
          <w:szCs w:val="28"/>
        </w:rPr>
      </w:pPr>
    </w:p>
    <w:p w14:paraId="0034FC85" w14:textId="77777777" w:rsidR="00B01136" w:rsidRPr="00D97CE0" w:rsidRDefault="00B01136" w:rsidP="00D97CE0">
      <w:pPr>
        <w:rPr>
          <w:rFonts w:ascii="Times New Roman" w:hAnsi="Times New Roman" w:cs="Times New Roman"/>
          <w:sz w:val="28"/>
          <w:szCs w:val="28"/>
        </w:rPr>
      </w:pPr>
    </w:p>
    <w:p w14:paraId="7B6C94BC" w14:textId="6A9CBAD4" w:rsidR="000B5321" w:rsidRPr="00D97CE0" w:rsidRDefault="000B5321" w:rsidP="00D97CE0">
      <w:pPr>
        <w:pStyle w:val="ListParagraph"/>
        <w:numPr>
          <w:ilvl w:val="0"/>
          <w:numId w:val="2"/>
        </w:numPr>
        <w:ind w:left="0"/>
        <w:rPr>
          <w:rFonts w:ascii="Times New Roman" w:hAnsi="Times New Roman" w:cs="Times New Roman"/>
          <w:b/>
          <w:bCs/>
          <w:sz w:val="28"/>
          <w:szCs w:val="28"/>
        </w:rPr>
      </w:pPr>
      <w:r w:rsidRPr="00D97CE0">
        <w:rPr>
          <w:rFonts w:ascii="Times New Roman" w:hAnsi="Times New Roman" w:cs="Times New Roman"/>
          <w:b/>
          <w:bCs/>
          <w:sz w:val="28"/>
          <w:szCs w:val="28"/>
        </w:rPr>
        <w:t xml:space="preserve">Is there an existing </w:t>
      </w:r>
      <w:proofErr w:type="gramStart"/>
      <w:r w:rsidRPr="00D97CE0">
        <w:rPr>
          <w:rFonts w:ascii="Times New Roman" w:hAnsi="Times New Roman" w:cs="Times New Roman"/>
          <w:b/>
          <w:bCs/>
          <w:sz w:val="28"/>
          <w:szCs w:val="28"/>
        </w:rPr>
        <w:t>Website</w:t>
      </w:r>
      <w:proofErr w:type="gramEnd"/>
      <w:r w:rsidRPr="00D97CE0">
        <w:rPr>
          <w:rFonts w:ascii="Times New Roman" w:hAnsi="Times New Roman" w:cs="Times New Roman"/>
          <w:b/>
          <w:bCs/>
          <w:sz w:val="28"/>
          <w:szCs w:val="28"/>
        </w:rPr>
        <w:t xml:space="preserve"> that the contractor would be required to use?</w:t>
      </w:r>
    </w:p>
    <w:p w14:paraId="19B840AB" w14:textId="6F0EE33A" w:rsidR="000B5321" w:rsidRDefault="000B5321"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Pr="00D97CE0">
        <w:rPr>
          <w:rFonts w:ascii="Times New Roman" w:hAnsi="Times New Roman" w:cs="Times New Roman"/>
          <w:sz w:val="28"/>
          <w:szCs w:val="28"/>
        </w:rPr>
        <w:t xml:space="preserve"> No, there is no existing </w:t>
      </w:r>
      <w:proofErr w:type="gramStart"/>
      <w:r w:rsidRPr="00D97CE0">
        <w:rPr>
          <w:rFonts w:ascii="Times New Roman" w:hAnsi="Times New Roman" w:cs="Times New Roman"/>
          <w:sz w:val="28"/>
          <w:szCs w:val="28"/>
        </w:rPr>
        <w:t>Website</w:t>
      </w:r>
      <w:proofErr w:type="gramEnd"/>
      <w:r w:rsidRPr="00D97CE0">
        <w:rPr>
          <w:rFonts w:ascii="Times New Roman" w:hAnsi="Times New Roman" w:cs="Times New Roman"/>
          <w:sz w:val="28"/>
          <w:szCs w:val="28"/>
        </w:rPr>
        <w:t xml:space="preserve"> that the contractor would be expected to use to identify and purchase necessary materials and supplies for the conference. The State is undertaking to engage with a private contractor </w:t>
      </w:r>
      <w:proofErr w:type="gramStart"/>
      <w:r w:rsidRPr="00D97CE0">
        <w:rPr>
          <w:rFonts w:ascii="Times New Roman" w:hAnsi="Times New Roman" w:cs="Times New Roman"/>
          <w:sz w:val="28"/>
          <w:szCs w:val="28"/>
        </w:rPr>
        <w:t>so as to</w:t>
      </w:r>
      <w:proofErr w:type="gramEnd"/>
      <w:r w:rsidRPr="00D97CE0">
        <w:rPr>
          <w:rFonts w:ascii="Times New Roman" w:hAnsi="Times New Roman" w:cs="Times New Roman"/>
          <w:sz w:val="28"/>
          <w:szCs w:val="28"/>
        </w:rPr>
        <w:t xml:space="preserve"> give the contractor as much flexibility as possible, save adherence to any governing Federal laws or regulations.</w:t>
      </w:r>
      <w:r w:rsidR="00D20086" w:rsidRPr="00D97CE0">
        <w:rPr>
          <w:rFonts w:ascii="Times New Roman" w:hAnsi="Times New Roman" w:cs="Times New Roman"/>
          <w:sz w:val="28"/>
          <w:szCs w:val="28"/>
        </w:rPr>
        <w:t xml:space="preserve"> As far as we understand, there are no Federal laws or regulations that require a contractor to purchase critical materials or supplies for such a conference</w:t>
      </w:r>
      <w:r w:rsidR="00231DEB" w:rsidRPr="00D97CE0">
        <w:rPr>
          <w:rFonts w:ascii="Times New Roman" w:hAnsi="Times New Roman" w:cs="Times New Roman"/>
          <w:sz w:val="28"/>
          <w:szCs w:val="28"/>
        </w:rPr>
        <w:t xml:space="preserve"> from any </w:t>
      </w:r>
      <w:proofErr w:type="gramStart"/>
      <w:r w:rsidR="00231DEB" w:rsidRPr="00D97CE0">
        <w:rPr>
          <w:rFonts w:ascii="Times New Roman" w:hAnsi="Times New Roman" w:cs="Times New Roman"/>
          <w:sz w:val="28"/>
          <w:szCs w:val="28"/>
        </w:rPr>
        <w:t>particular website</w:t>
      </w:r>
      <w:proofErr w:type="gramEnd"/>
      <w:r w:rsidR="00D20086" w:rsidRPr="00D97CE0">
        <w:rPr>
          <w:rFonts w:ascii="Times New Roman" w:hAnsi="Times New Roman" w:cs="Times New Roman"/>
          <w:sz w:val="28"/>
          <w:szCs w:val="28"/>
        </w:rPr>
        <w:t>.</w:t>
      </w:r>
    </w:p>
    <w:p w14:paraId="29301A1D" w14:textId="77777777" w:rsidR="002D7F5A" w:rsidRPr="00D97CE0" w:rsidRDefault="002D7F5A" w:rsidP="00D97CE0">
      <w:pPr>
        <w:rPr>
          <w:rFonts w:ascii="Times New Roman" w:hAnsi="Times New Roman" w:cs="Times New Roman"/>
          <w:sz w:val="28"/>
          <w:szCs w:val="28"/>
        </w:rPr>
      </w:pPr>
    </w:p>
    <w:p w14:paraId="1CE1294D" w14:textId="17BC5A18" w:rsidR="00D20086" w:rsidRPr="002D7F5A" w:rsidRDefault="00D20086" w:rsidP="00D97CE0">
      <w:pPr>
        <w:pStyle w:val="ListParagraph"/>
        <w:numPr>
          <w:ilvl w:val="0"/>
          <w:numId w:val="2"/>
        </w:numPr>
        <w:ind w:left="0"/>
        <w:rPr>
          <w:rFonts w:ascii="Times New Roman" w:hAnsi="Times New Roman" w:cs="Times New Roman"/>
          <w:b/>
          <w:bCs/>
          <w:sz w:val="28"/>
          <w:szCs w:val="28"/>
        </w:rPr>
      </w:pPr>
      <w:r w:rsidRPr="002D7F5A">
        <w:rPr>
          <w:rFonts w:ascii="Times New Roman" w:hAnsi="Times New Roman" w:cs="Times New Roman"/>
          <w:b/>
          <w:bCs/>
          <w:sz w:val="28"/>
          <w:szCs w:val="28"/>
        </w:rPr>
        <w:lastRenderedPageBreak/>
        <w:t>Could you clarify “confirm the availability of name tags and make sure that a system supporting the development, distribution, and delivery of the name tags is created</w:t>
      </w:r>
      <w:r w:rsidR="0006104F" w:rsidRPr="002D7F5A">
        <w:rPr>
          <w:rFonts w:ascii="Times New Roman" w:hAnsi="Times New Roman" w:cs="Times New Roman"/>
          <w:b/>
          <w:bCs/>
          <w:sz w:val="28"/>
          <w:szCs w:val="28"/>
        </w:rPr>
        <w:t>” – is SBVI expecting nametags to be mailed to participants?</w:t>
      </w:r>
    </w:p>
    <w:p w14:paraId="2FD9052A" w14:textId="6AE845F8" w:rsidR="0006104F" w:rsidRDefault="0006104F"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Pr="00D97CE0">
        <w:rPr>
          <w:rFonts w:ascii="Times New Roman" w:hAnsi="Times New Roman" w:cs="Times New Roman"/>
          <w:sz w:val="28"/>
          <w:szCs w:val="28"/>
        </w:rPr>
        <w:t xml:space="preserve"> SBVI is not necessarily expecting name tags to be mailed to registered conference participants, unless the successful bidder makes an argument that is persuasive on this point. In general, we are reluctant to have name tags mailed, where some would inevitably be lost in transit. We simply meant, by our language, that name tags should probably be secured and printed for registered participants, and ready for distribution to them, when they arrive for on-site check-in at the conference venue. Each bidder, though, has the discretion to propose any system for the development, distribution, and delivery of name tags that it believes would be most efficient for the operation of the conference.</w:t>
      </w:r>
    </w:p>
    <w:p w14:paraId="6BD11AA0" w14:textId="4FF75CBE" w:rsidR="00BD4961" w:rsidRDefault="00BD4961" w:rsidP="00D97CE0">
      <w:pPr>
        <w:rPr>
          <w:rFonts w:ascii="Times New Roman" w:hAnsi="Times New Roman" w:cs="Times New Roman"/>
          <w:sz w:val="28"/>
          <w:szCs w:val="28"/>
        </w:rPr>
      </w:pPr>
    </w:p>
    <w:p w14:paraId="5FADBF29" w14:textId="77777777" w:rsidR="00BD4961" w:rsidRPr="00D97CE0" w:rsidRDefault="00BD4961" w:rsidP="00D97CE0">
      <w:pPr>
        <w:rPr>
          <w:rFonts w:ascii="Times New Roman" w:hAnsi="Times New Roman" w:cs="Times New Roman"/>
          <w:sz w:val="28"/>
          <w:szCs w:val="28"/>
        </w:rPr>
      </w:pPr>
    </w:p>
    <w:p w14:paraId="5151B74D" w14:textId="49CBFE99" w:rsidR="00C659F2" w:rsidRPr="002D7F5A" w:rsidRDefault="00C659F2" w:rsidP="00D97CE0">
      <w:pPr>
        <w:pStyle w:val="ListParagraph"/>
        <w:numPr>
          <w:ilvl w:val="0"/>
          <w:numId w:val="2"/>
        </w:numPr>
        <w:ind w:left="0"/>
        <w:rPr>
          <w:rFonts w:ascii="Times New Roman" w:hAnsi="Times New Roman" w:cs="Times New Roman"/>
          <w:b/>
          <w:bCs/>
          <w:sz w:val="28"/>
          <w:szCs w:val="28"/>
        </w:rPr>
      </w:pPr>
      <w:r w:rsidRPr="002D7F5A">
        <w:rPr>
          <w:rFonts w:ascii="Times New Roman" w:hAnsi="Times New Roman" w:cs="Times New Roman"/>
          <w:b/>
          <w:bCs/>
          <w:sz w:val="28"/>
          <w:szCs w:val="28"/>
        </w:rPr>
        <w:t xml:space="preserve">Is SBVI open </w:t>
      </w:r>
      <w:r w:rsidR="00337172" w:rsidRPr="002D7F5A">
        <w:rPr>
          <w:rFonts w:ascii="Times New Roman" w:hAnsi="Times New Roman" w:cs="Times New Roman"/>
          <w:b/>
          <w:bCs/>
          <w:sz w:val="28"/>
          <w:szCs w:val="28"/>
        </w:rPr>
        <w:t xml:space="preserve">to locations in New Hampshire </w:t>
      </w:r>
      <w:r w:rsidR="002700B1" w:rsidRPr="002D7F5A">
        <w:rPr>
          <w:rFonts w:ascii="Times New Roman" w:hAnsi="Times New Roman" w:cs="Times New Roman"/>
          <w:b/>
          <w:bCs/>
          <w:sz w:val="28"/>
          <w:szCs w:val="28"/>
        </w:rPr>
        <w:t>other than Concord?</w:t>
      </w:r>
    </w:p>
    <w:p w14:paraId="31F3131E" w14:textId="4A9CE7EE" w:rsidR="002700B1" w:rsidRPr="00D97CE0" w:rsidRDefault="002700B1" w:rsidP="00D97CE0">
      <w:pPr>
        <w:rPr>
          <w:rFonts w:ascii="Times New Roman" w:hAnsi="Times New Roman" w:cs="Times New Roman"/>
          <w:sz w:val="28"/>
          <w:szCs w:val="28"/>
        </w:rPr>
      </w:pPr>
      <w:r w:rsidRPr="002D7F5A">
        <w:rPr>
          <w:rFonts w:ascii="Times New Roman" w:hAnsi="Times New Roman" w:cs="Times New Roman"/>
          <w:b/>
          <w:bCs/>
          <w:sz w:val="28"/>
          <w:szCs w:val="28"/>
        </w:rPr>
        <w:t>Answer:</w:t>
      </w:r>
      <w:r w:rsidRPr="00D97CE0">
        <w:rPr>
          <w:rFonts w:ascii="Times New Roman" w:hAnsi="Times New Roman" w:cs="Times New Roman"/>
          <w:sz w:val="28"/>
          <w:szCs w:val="28"/>
        </w:rPr>
        <w:t xml:space="preserve"> In general, SBVI has determined that this city will be the most accessible</w:t>
      </w:r>
      <w:r w:rsidR="006A7D31" w:rsidRPr="00D97CE0">
        <w:rPr>
          <w:rFonts w:ascii="Times New Roman" w:hAnsi="Times New Roman" w:cs="Times New Roman"/>
          <w:sz w:val="28"/>
          <w:szCs w:val="28"/>
        </w:rPr>
        <w:t xml:space="preserve"> and central for most participants in New Hampshire and any neighboring States. If the successful bidder, however, can make a persuasive case that another location in New Hampshire would be more accessible and central than Concord, given the </w:t>
      </w:r>
      <w:r w:rsidR="007F7AB2" w:rsidRPr="00D97CE0">
        <w:rPr>
          <w:rFonts w:ascii="Times New Roman" w:hAnsi="Times New Roman" w:cs="Times New Roman"/>
          <w:sz w:val="28"/>
          <w:szCs w:val="28"/>
        </w:rPr>
        <w:t xml:space="preserve">priority statewide and then </w:t>
      </w:r>
      <w:r w:rsidR="006A7D31" w:rsidRPr="00D97CE0">
        <w:rPr>
          <w:rFonts w:ascii="Times New Roman" w:hAnsi="Times New Roman" w:cs="Times New Roman"/>
          <w:sz w:val="28"/>
          <w:szCs w:val="28"/>
        </w:rPr>
        <w:t xml:space="preserve">region-wide audience </w:t>
      </w:r>
      <w:r w:rsidR="002D0204" w:rsidRPr="00D97CE0">
        <w:rPr>
          <w:rFonts w:ascii="Times New Roman" w:hAnsi="Times New Roman" w:cs="Times New Roman"/>
          <w:sz w:val="28"/>
          <w:szCs w:val="28"/>
        </w:rPr>
        <w:t xml:space="preserve">that </w:t>
      </w:r>
      <w:r w:rsidR="006A7D31" w:rsidRPr="00D97CE0">
        <w:rPr>
          <w:rFonts w:ascii="Times New Roman" w:hAnsi="Times New Roman" w:cs="Times New Roman"/>
          <w:sz w:val="28"/>
          <w:szCs w:val="28"/>
        </w:rPr>
        <w:t xml:space="preserve">we are endeavoring to attract, </w:t>
      </w:r>
      <w:r w:rsidR="002D0204" w:rsidRPr="00D97CE0">
        <w:rPr>
          <w:rFonts w:ascii="Times New Roman" w:hAnsi="Times New Roman" w:cs="Times New Roman"/>
          <w:sz w:val="28"/>
          <w:szCs w:val="28"/>
        </w:rPr>
        <w:t xml:space="preserve">we would be </w:t>
      </w:r>
      <w:proofErr w:type="gramStart"/>
      <w:r w:rsidR="002D0204" w:rsidRPr="00D97CE0">
        <w:rPr>
          <w:rFonts w:ascii="Times New Roman" w:hAnsi="Times New Roman" w:cs="Times New Roman"/>
          <w:sz w:val="28"/>
          <w:szCs w:val="28"/>
        </w:rPr>
        <w:t>open</w:t>
      </w:r>
      <w:proofErr w:type="gramEnd"/>
      <w:r w:rsidR="002D0204" w:rsidRPr="00D97CE0">
        <w:rPr>
          <w:rFonts w:ascii="Times New Roman" w:hAnsi="Times New Roman" w:cs="Times New Roman"/>
          <w:sz w:val="28"/>
          <w:szCs w:val="28"/>
        </w:rPr>
        <w:t xml:space="preserve"> to receiving the idea. Where </w:t>
      </w:r>
      <w:r w:rsidR="00C77D03" w:rsidRPr="00D97CE0">
        <w:rPr>
          <w:rFonts w:ascii="Times New Roman" w:hAnsi="Times New Roman" w:cs="Times New Roman"/>
          <w:sz w:val="28"/>
          <w:szCs w:val="28"/>
        </w:rPr>
        <w:t>Vocational Rehabilitation-New Hampshire and SBVI will be expecting the successful bidder to identify and manage transportation costs and providers for those participants residing in New Hampshire, we strongly encourage the bidders to remain focused on Concord as the primary site for this event.</w:t>
      </w:r>
    </w:p>
    <w:sectPr w:rsidR="002700B1" w:rsidRPr="00D97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CAF4" w14:textId="77777777" w:rsidR="00E72799" w:rsidRDefault="00E72799" w:rsidP="00BD4961">
      <w:pPr>
        <w:spacing w:after="0" w:line="240" w:lineRule="auto"/>
      </w:pPr>
      <w:r>
        <w:separator/>
      </w:r>
    </w:p>
  </w:endnote>
  <w:endnote w:type="continuationSeparator" w:id="0">
    <w:p w14:paraId="5FAE0539" w14:textId="77777777" w:rsidR="00E72799" w:rsidRDefault="00E72799" w:rsidP="00BD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002B" w14:textId="77777777" w:rsidR="00E72799" w:rsidRDefault="00E72799" w:rsidP="00BD4961">
      <w:pPr>
        <w:spacing w:after="0" w:line="240" w:lineRule="auto"/>
      </w:pPr>
      <w:r>
        <w:separator/>
      </w:r>
    </w:p>
  </w:footnote>
  <w:footnote w:type="continuationSeparator" w:id="0">
    <w:p w14:paraId="2C4AD018" w14:textId="77777777" w:rsidR="00E72799" w:rsidRDefault="00E72799" w:rsidP="00BD4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60D"/>
    <w:multiLevelType w:val="hybridMultilevel"/>
    <w:tmpl w:val="67DC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A5CCB"/>
    <w:multiLevelType w:val="hybridMultilevel"/>
    <w:tmpl w:val="3B7A155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9032FA"/>
    <w:multiLevelType w:val="hybridMultilevel"/>
    <w:tmpl w:val="09F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4"/>
    <w:rsid w:val="00030B66"/>
    <w:rsid w:val="0006104F"/>
    <w:rsid w:val="000722A8"/>
    <w:rsid w:val="000B5321"/>
    <w:rsid w:val="00172A48"/>
    <w:rsid w:val="001F5373"/>
    <w:rsid w:val="00230CEF"/>
    <w:rsid w:val="00231DEB"/>
    <w:rsid w:val="002700B1"/>
    <w:rsid w:val="002D0204"/>
    <w:rsid w:val="002D6E24"/>
    <w:rsid w:val="002D7F5A"/>
    <w:rsid w:val="00337172"/>
    <w:rsid w:val="004323CC"/>
    <w:rsid w:val="00451789"/>
    <w:rsid w:val="00506961"/>
    <w:rsid w:val="00646664"/>
    <w:rsid w:val="006A7D31"/>
    <w:rsid w:val="007F7AB2"/>
    <w:rsid w:val="008138A4"/>
    <w:rsid w:val="008B00E4"/>
    <w:rsid w:val="00942767"/>
    <w:rsid w:val="00AA5FA7"/>
    <w:rsid w:val="00B01136"/>
    <w:rsid w:val="00B42AC7"/>
    <w:rsid w:val="00BD4961"/>
    <w:rsid w:val="00C659F2"/>
    <w:rsid w:val="00C77D03"/>
    <w:rsid w:val="00D20086"/>
    <w:rsid w:val="00D97CE0"/>
    <w:rsid w:val="00E7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30C4"/>
  <w15:chartTrackingRefBased/>
  <w15:docId w15:val="{18D63342-0C45-4B3F-83D0-E2C83C5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4"/>
    <w:pPr>
      <w:ind w:left="720"/>
      <w:contextualSpacing/>
    </w:pPr>
  </w:style>
  <w:style w:type="paragraph" w:customStyle="1" w:styleId="indent-1">
    <w:name w:val="indent-1"/>
    <w:basedOn w:val="Normal"/>
    <w:rsid w:val="00B01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01136"/>
  </w:style>
  <w:style w:type="character" w:customStyle="1" w:styleId="paren">
    <w:name w:val="paren"/>
    <w:basedOn w:val="DefaultParagraphFont"/>
    <w:rsid w:val="00B01136"/>
  </w:style>
  <w:style w:type="paragraph" w:customStyle="1" w:styleId="indent-2">
    <w:name w:val="indent-2"/>
    <w:basedOn w:val="Normal"/>
    <w:rsid w:val="00B01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136"/>
    <w:rPr>
      <w:color w:val="0000FF"/>
      <w:u w:val="single"/>
    </w:rPr>
  </w:style>
  <w:style w:type="paragraph" w:customStyle="1" w:styleId="indent-3">
    <w:name w:val="indent-3"/>
    <w:basedOn w:val="Normal"/>
    <w:rsid w:val="00B01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B011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61"/>
  </w:style>
  <w:style w:type="paragraph" w:styleId="Footer">
    <w:name w:val="footer"/>
    <w:basedOn w:val="Normal"/>
    <w:link w:val="FooterChar"/>
    <w:uiPriority w:val="99"/>
    <w:unhideWhenUsed/>
    <w:rsid w:val="00BD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68198">
      <w:bodyDiv w:val="1"/>
      <w:marLeft w:val="0"/>
      <w:marRight w:val="0"/>
      <w:marTop w:val="0"/>
      <w:marBottom w:val="0"/>
      <w:divBdr>
        <w:top w:val="none" w:sz="0" w:space="0" w:color="auto"/>
        <w:left w:val="none" w:sz="0" w:space="0" w:color="auto"/>
        <w:bottom w:val="none" w:sz="0" w:space="0" w:color="auto"/>
        <w:right w:val="none" w:sz="0" w:space="0" w:color="auto"/>
      </w:divBdr>
      <w:divsChild>
        <w:div w:id="1081676938">
          <w:marLeft w:val="0"/>
          <w:marRight w:val="0"/>
          <w:marTop w:val="0"/>
          <w:marBottom w:val="0"/>
          <w:divBdr>
            <w:top w:val="none" w:sz="0" w:space="0" w:color="auto"/>
            <w:left w:val="none" w:sz="0" w:space="0" w:color="auto"/>
            <w:bottom w:val="none" w:sz="0" w:space="0" w:color="auto"/>
            <w:right w:val="none" w:sz="0" w:space="0" w:color="auto"/>
          </w:divBdr>
        </w:div>
        <w:div w:id="638459592">
          <w:marLeft w:val="0"/>
          <w:marRight w:val="0"/>
          <w:marTop w:val="0"/>
          <w:marBottom w:val="0"/>
          <w:divBdr>
            <w:top w:val="none" w:sz="0" w:space="0" w:color="auto"/>
            <w:left w:val="none" w:sz="0" w:space="0" w:color="auto"/>
            <w:bottom w:val="none" w:sz="0" w:space="0" w:color="auto"/>
            <w:right w:val="none" w:sz="0" w:space="0" w:color="auto"/>
          </w:divBdr>
          <w:divsChild>
            <w:div w:id="44332228">
              <w:marLeft w:val="0"/>
              <w:marRight w:val="0"/>
              <w:marTop w:val="0"/>
              <w:marBottom w:val="0"/>
              <w:divBdr>
                <w:top w:val="none" w:sz="0" w:space="0" w:color="auto"/>
                <w:left w:val="none" w:sz="0" w:space="0" w:color="auto"/>
                <w:bottom w:val="none" w:sz="0" w:space="0" w:color="auto"/>
                <w:right w:val="none" w:sz="0" w:space="0" w:color="auto"/>
              </w:divBdr>
            </w:div>
            <w:div w:id="686563590">
              <w:marLeft w:val="0"/>
              <w:marRight w:val="0"/>
              <w:marTop w:val="0"/>
              <w:marBottom w:val="0"/>
              <w:divBdr>
                <w:top w:val="none" w:sz="0" w:space="0" w:color="auto"/>
                <w:left w:val="none" w:sz="0" w:space="0" w:color="auto"/>
                <w:bottom w:val="none" w:sz="0" w:space="0" w:color="auto"/>
                <w:right w:val="none" w:sz="0" w:space="0" w:color="auto"/>
              </w:divBdr>
            </w:div>
            <w:div w:id="8338184">
              <w:marLeft w:val="0"/>
              <w:marRight w:val="0"/>
              <w:marTop w:val="0"/>
              <w:marBottom w:val="0"/>
              <w:divBdr>
                <w:top w:val="none" w:sz="0" w:space="0" w:color="auto"/>
                <w:left w:val="none" w:sz="0" w:space="0" w:color="auto"/>
                <w:bottom w:val="none" w:sz="0" w:space="0" w:color="auto"/>
                <w:right w:val="none" w:sz="0" w:space="0" w:color="auto"/>
              </w:divBdr>
            </w:div>
            <w:div w:id="918292618">
              <w:marLeft w:val="0"/>
              <w:marRight w:val="0"/>
              <w:marTop w:val="0"/>
              <w:marBottom w:val="0"/>
              <w:divBdr>
                <w:top w:val="none" w:sz="0" w:space="0" w:color="auto"/>
                <w:left w:val="none" w:sz="0" w:space="0" w:color="auto"/>
                <w:bottom w:val="none" w:sz="0" w:space="0" w:color="auto"/>
                <w:right w:val="none" w:sz="0" w:space="0" w:color="auto"/>
              </w:divBdr>
            </w:div>
          </w:divsChild>
        </w:div>
        <w:div w:id="1999848083">
          <w:marLeft w:val="0"/>
          <w:marRight w:val="0"/>
          <w:marTop w:val="0"/>
          <w:marBottom w:val="0"/>
          <w:divBdr>
            <w:top w:val="none" w:sz="0" w:space="0" w:color="auto"/>
            <w:left w:val="none" w:sz="0" w:space="0" w:color="auto"/>
            <w:bottom w:val="none" w:sz="0" w:space="0" w:color="auto"/>
            <w:right w:val="none" w:sz="0" w:space="0" w:color="auto"/>
          </w:divBdr>
        </w:div>
        <w:div w:id="506285655">
          <w:marLeft w:val="0"/>
          <w:marRight w:val="0"/>
          <w:marTop w:val="0"/>
          <w:marBottom w:val="0"/>
          <w:divBdr>
            <w:top w:val="none" w:sz="0" w:space="0" w:color="auto"/>
            <w:left w:val="none" w:sz="0" w:space="0" w:color="auto"/>
            <w:bottom w:val="none" w:sz="0" w:space="0" w:color="auto"/>
            <w:right w:val="none" w:sz="0" w:space="0" w:color="auto"/>
          </w:divBdr>
          <w:divsChild>
            <w:div w:id="775097696">
              <w:marLeft w:val="0"/>
              <w:marRight w:val="0"/>
              <w:marTop w:val="0"/>
              <w:marBottom w:val="0"/>
              <w:divBdr>
                <w:top w:val="none" w:sz="0" w:space="0" w:color="auto"/>
                <w:left w:val="none" w:sz="0" w:space="0" w:color="auto"/>
                <w:bottom w:val="none" w:sz="0" w:space="0" w:color="auto"/>
                <w:right w:val="none" w:sz="0" w:space="0" w:color="auto"/>
              </w:divBdr>
            </w:div>
            <w:div w:id="822047051">
              <w:marLeft w:val="0"/>
              <w:marRight w:val="0"/>
              <w:marTop w:val="0"/>
              <w:marBottom w:val="0"/>
              <w:divBdr>
                <w:top w:val="none" w:sz="0" w:space="0" w:color="auto"/>
                <w:left w:val="none" w:sz="0" w:space="0" w:color="auto"/>
                <w:bottom w:val="none" w:sz="0" w:space="0" w:color="auto"/>
                <w:right w:val="none" w:sz="0" w:space="0" w:color="auto"/>
              </w:divBdr>
            </w:div>
            <w:div w:id="55204240">
              <w:marLeft w:val="0"/>
              <w:marRight w:val="0"/>
              <w:marTop w:val="0"/>
              <w:marBottom w:val="0"/>
              <w:divBdr>
                <w:top w:val="none" w:sz="0" w:space="0" w:color="auto"/>
                <w:left w:val="none" w:sz="0" w:space="0" w:color="auto"/>
                <w:bottom w:val="none" w:sz="0" w:space="0" w:color="auto"/>
                <w:right w:val="none" w:sz="0" w:space="0" w:color="auto"/>
              </w:divBdr>
            </w:div>
          </w:divsChild>
        </w:div>
        <w:div w:id="443548141">
          <w:marLeft w:val="0"/>
          <w:marRight w:val="0"/>
          <w:marTop w:val="0"/>
          <w:marBottom w:val="0"/>
          <w:divBdr>
            <w:top w:val="none" w:sz="0" w:space="0" w:color="auto"/>
            <w:left w:val="none" w:sz="0" w:space="0" w:color="auto"/>
            <w:bottom w:val="none" w:sz="0" w:space="0" w:color="auto"/>
            <w:right w:val="none" w:sz="0" w:space="0" w:color="auto"/>
          </w:divBdr>
          <w:divsChild>
            <w:div w:id="1915234194">
              <w:marLeft w:val="0"/>
              <w:marRight w:val="0"/>
              <w:marTop w:val="0"/>
              <w:marBottom w:val="0"/>
              <w:divBdr>
                <w:top w:val="none" w:sz="0" w:space="0" w:color="auto"/>
                <w:left w:val="none" w:sz="0" w:space="0" w:color="auto"/>
                <w:bottom w:val="none" w:sz="0" w:space="0" w:color="auto"/>
                <w:right w:val="none" w:sz="0" w:space="0" w:color="auto"/>
              </w:divBdr>
            </w:div>
            <w:div w:id="2035500072">
              <w:marLeft w:val="0"/>
              <w:marRight w:val="0"/>
              <w:marTop w:val="0"/>
              <w:marBottom w:val="0"/>
              <w:divBdr>
                <w:top w:val="none" w:sz="0" w:space="0" w:color="auto"/>
                <w:left w:val="none" w:sz="0" w:space="0" w:color="auto"/>
                <w:bottom w:val="none" w:sz="0" w:space="0" w:color="auto"/>
                <w:right w:val="none" w:sz="0" w:space="0" w:color="auto"/>
              </w:divBdr>
              <w:divsChild>
                <w:div w:id="501050098">
                  <w:marLeft w:val="0"/>
                  <w:marRight w:val="0"/>
                  <w:marTop w:val="0"/>
                  <w:marBottom w:val="0"/>
                  <w:divBdr>
                    <w:top w:val="none" w:sz="0" w:space="0" w:color="auto"/>
                    <w:left w:val="none" w:sz="0" w:space="0" w:color="auto"/>
                    <w:bottom w:val="none" w:sz="0" w:space="0" w:color="auto"/>
                    <w:right w:val="none" w:sz="0" w:space="0" w:color="auto"/>
                  </w:divBdr>
                </w:div>
                <w:div w:id="1682583987">
                  <w:marLeft w:val="0"/>
                  <w:marRight w:val="0"/>
                  <w:marTop w:val="0"/>
                  <w:marBottom w:val="0"/>
                  <w:divBdr>
                    <w:top w:val="none" w:sz="0" w:space="0" w:color="auto"/>
                    <w:left w:val="none" w:sz="0" w:space="0" w:color="auto"/>
                    <w:bottom w:val="none" w:sz="0" w:space="0" w:color="auto"/>
                    <w:right w:val="none" w:sz="0" w:space="0" w:color="auto"/>
                  </w:divBdr>
                </w:div>
                <w:div w:id="1037511089">
                  <w:marLeft w:val="0"/>
                  <w:marRight w:val="0"/>
                  <w:marTop w:val="0"/>
                  <w:marBottom w:val="0"/>
                  <w:divBdr>
                    <w:top w:val="none" w:sz="0" w:space="0" w:color="auto"/>
                    <w:left w:val="none" w:sz="0" w:space="0" w:color="auto"/>
                    <w:bottom w:val="none" w:sz="0" w:space="0" w:color="auto"/>
                    <w:right w:val="none" w:sz="0" w:space="0" w:color="auto"/>
                  </w:divBdr>
                </w:div>
              </w:divsChild>
            </w:div>
            <w:div w:id="1221163918">
              <w:marLeft w:val="0"/>
              <w:marRight w:val="0"/>
              <w:marTop w:val="0"/>
              <w:marBottom w:val="0"/>
              <w:divBdr>
                <w:top w:val="none" w:sz="0" w:space="0" w:color="auto"/>
                <w:left w:val="none" w:sz="0" w:space="0" w:color="auto"/>
                <w:bottom w:val="none" w:sz="0" w:space="0" w:color="auto"/>
                <w:right w:val="none" w:sz="0" w:space="0" w:color="auto"/>
              </w:divBdr>
            </w:div>
            <w:div w:id="771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ection-200.4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urrent/title-2/section-200.463" TargetMode="External"/><Relationship Id="rId12" Type="http://schemas.openxmlformats.org/officeDocument/2006/relationships/hyperlink" Target="https://www.federalregister.gov/citation/85-FR-49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citation/78-FR-76808" TargetMode="External"/><Relationship Id="rId5" Type="http://schemas.openxmlformats.org/officeDocument/2006/relationships/footnotes" Target="footnotes.xml"/><Relationship Id="rId10" Type="http://schemas.openxmlformats.org/officeDocument/2006/relationships/hyperlink" Target="https://www.ecfr.gov/current/title-2/section-200.432" TargetMode="External"/><Relationship Id="rId4" Type="http://schemas.openxmlformats.org/officeDocument/2006/relationships/webSettings" Target="webSettings.xml"/><Relationship Id="rId9" Type="http://schemas.openxmlformats.org/officeDocument/2006/relationships/hyperlink" Target="https://www.ecfr.gov/current/title-2/section-200.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Daniel</dc:creator>
  <cp:keywords/>
  <dc:description/>
  <cp:lastModifiedBy>Littlefield, Lynn</cp:lastModifiedBy>
  <cp:revision>2</cp:revision>
  <dcterms:created xsi:type="dcterms:W3CDTF">2022-06-01T19:19:00Z</dcterms:created>
  <dcterms:modified xsi:type="dcterms:W3CDTF">2022-06-01T19:19:00Z</dcterms:modified>
</cp:coreProperties>
</file>