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3D047F" w14:textId="77777777" w:rsidR="00FF3F0F" w:rsidRPr="00FF3F0F" w:rsidRDefault="00FF3F0F" w:rsidP="00FF3F0F">
      <w:pPr>
        <w:jc w:val="center"/>
        <w:rPr>
          <w:rFonts w:cstheme="minorHAnsi"/>
          <w:b/>
          <w:sz w:val="32"/>
          <w:szCs w:val="32"/>
        </w:rPr>
      </w:pPr>
      <w:r w:rsidRPr="00FF3F0F">
        <w:rPr>
          <w:rFonts w:cstheme="minorHAnsi"/>
          <w:b/>
          <w:sz w:val="32"/>
          <w:szCs w:val="32"/>
        </w:rPr>
        <w:t>New Hampshire Nita M. Lowey 21</w:t>
      </w:r>
      <w:r w:rsidRPr="00FF3F0F">
        <w:rPr>
          <w:rFonts w:cstheme="minorHAnsi"/>
          <w:b/>
          <w:sz w:val="32"/>
          <w:szCs w:val="32"/>
          <w:vertAlign w:val="superscript"/>
        </w:rPr>
        <w:t>st</w:t>
      </w:r>
      <w:r w:rsidRPr="00FF3F0F">
        <w:rPr>
          <w:rFonts w:cstheme="minorHAnsi"/>
          <w:b/>
          <w:sz w:val="32"/>
          <w:szCs w:val="32"/>
        </w:rPr>
        <w:t xml:space="preserve"> Century Community Learning Centers (21</w:t>
      </w:r>
      <w:r w:rsidRPr="00FF3F0F">
        <w:rPr>
          <w:rFonts w:cstheme="minorHAnsi"/>
          <w:b/>
          <w:sz w:val="32"/>
          <w:szCs w:val="32"/>
          <w:vertAlign w:val="superscript"/>
        </w:rPr>
        <w:t>st</w:t>
      </w:r>
      <w:r w:rsidRPr="00FF3F0F">
        <w:rPr>
          <w:rFonts w:cstheme="minorHAnsi"/>
          <w:b/>
          <w:sz w:val="32"/>
          <w:szCs w:val="32"/>
        </w:rPr>
        <w:t xml:space="preserve"> CCLC) </w:t>
      </w:r>
    </w:p>
    <w:p w14:paraId="4FE25500" w14:textId="150C6232" w:rsidR="00FF3F0F" w:rsidRPr="00FF3F0F" w:rsidRDefault="00FF3F0F" w:rsidP="00FF3F0F">
      <w:pPr>
        <w:jc w:val="center"/>
        <w:rPr>
          <w:rFonts w:cstheme="minorHAnsi"/>
          <w:b/>
          <w:sz w:val="32"/>
          <w:szCs w:val="32"/>
        </w:rPr>
      </w:pPr>
      <w:r w:rsidRPr="00FF3F0F">
        <w:rPr>
          <w:rFonts w:cstheme="minorHAnsi"/>
          <w:b/>
          <w:sz w:val="32"/>
          <w:szCs w:val="32"/>
        </w:rPr>
        <w:t>State Goals for 202</w:t>
      </w:r>
      <w:r w:rsidR="00D41FB3">
        <w:rPr>
          <w:rFonts w:cstheme="minorHAnsi"/>
          <w:b/>
          <w:sz w:val="32"/>
          <w:szCs w:val="32"/>
        </w:rPr>
        <w:t>3</w:t>
      </w:r>
      <w:r w:rsidRPr="00FF3F0F">
        <w:rPr>
          <w:rFonts w:cstheme="minorHAnsi"/>
          <w:b/>
          <w:sz w:val="32"/>
          <w:szCs w:val="32"/>
        </w:rPr>
        <w:t>-202</w:t>
      </w:r>
      <w:r w:rsidR="00D41FB3">
        <w:rPr>
          <w:rFonts w:cstheme="minorHAnsi"/>
          <w:b/>
          <w:sz w:val="32"/>
          <w:szCs w:val="32"/>
        </w:rPr>
        <w:t>4</w:t>
      </w:r>
    </w:p>
    <w:p w14:paraId="38E3CB2D" w14:textId="6C817640" w:rsidR="00FF3F0F" w:rsidRPr="0019148C" w:rsidRDefault="00FF3F0F" w:rsidP="00FF3F0F">
      <w:r w:rsidRPr="0019148C">
        <w:t>Congress established a set of measures via the Government Performance Results Act (GPRA) in 1993 to improve government performance management. GPRA measures are required outcomes that are reported to Congress once a year. The U.S. Department of Education (USED) analyzes this data to report on the GPRAs measures to Congress in the Annual Performance Report. In New Hampshire, the 21st CCLC, GPRAs are measured by improvements in; New Hampshire Statewide Assessment (NHSAS), Grade Point Average, School Day Attendance, Teacher-Reported Behaviors and Student Engagement in Learning. Data will be collected during the school year of 202</w:t>
      </w:r>
      <w:r w:rsidR="00D41FB3" w:rsidRPr="0019148C">
        <w:t>3</w:t>
      </w:r>
      <w:r w:rsidRPr="0019148C">
        <w:t>-202</w:t>
      </w:r>
      <w:r w:rsidR="00D41FB3" w:rsidRPr="0019148C">
        <w:t>4</w:t>
      </w:r>
      <w:r w:rsidRPr="0019148C">
        <w:t xml:space="preserve"> and reported in the </w:t>
      </w:r>
      <w:r w:rsidR="00193341" w:rsidRPr="0019148C">
        <w:t>Fall</w:t>
      </w:r>
      <w:r w:rsidRPr="0019148C">
        <w:t xml:space="preserve"> of 202</w:t>
      </w:r>
      <w:r w:rsidR="00D41FB3" w:rsidRPr="0019148C">
        <w:t>4</w:t>
      </w:r>
      <w:r w:rsidRPr="0019148C">
        <w:t>.</w:t>
      </w:r>
    </w:p>
    <w:p w14:paraId="15F63F96" w14:textId="77777777" w:rsidR="00FF3F0F" w:rsidRPr="0019148C" w:rsidRDefault="00FF3F0F" w:rsidP="00FF3F0F">
      <w:pPr>
        <w:rPr>
          <w:rFonts w:ascii="Calibri" w:eastAsia="Arial" w:hAnsi="Calibri" w:cs="Calibri"/>
          <w:color w:val="000000"/>
        </w:rPr>
      </w:pPr>
      <w:r w:rsidRPr="0019148C">
        <w:rPr>
          <w:rFonts w:ascii="Calibri" w:eastAsia="Arial" w:hAnsi="Calibri" w:cs="Calibri"/>
          <w:color w:val="000000"/>
        </w:rPr>
        <w:t xml:space="preserve">Subgrantees will be funded at 100 percent for the first three (3) years of funding. Subgrantees may have the opportunity to receive continued funding for an additional two (2) years based on funding availability and the Department’s evaluation of successful progress towards meeting the Government Performance Results Act (GPRA) measures. </w:t>
      </w:r>
    </w:p>
    <w:p w14:paraId="22F226D9" w14:textId="77777777" w:rsidR="00FF3F0F" w:rsidRPr="00FF3F0F" w:rsidRDefault="00FF3F0F" w:rsidP="00FF3F0F">
      <w:pPr>
        <w:rPr>
          <w:rFonts w:ascii="Calibri" w:eastAsia="Arial" w:hAnsi="Calibri" w:cs="Calibri"/>
          <w:color w:val="000000"/>
          <w:sz w:val="24"/>
          <w:szCs w:val="24"/>
        </w:rPr>
      </w:pPr>
    </w:p>
    <w:p w14:paraId="3EC92601" w14:textId="77777777" w:rsidR="00FF3F0F" w:rsidRDefault="00FF3F0F" w:rsidP="00FF3F0F">
      <w:r w:rsidRPr="00FF3F0F">
        <w:rPr>
          <w:b/>
          <w:sz w:val="24"/>
        </w:rPr>
        <w:t>21</w:t>
      </w:r>
      <w:r w:rsidRPr="00FF3F0F">
        <w:rPr>
          <w:b/>
          <w:sz w:val="24"/>
          <w:vertAlign w:val="superscript"/>
        </w:rPr>
        <w:t>st</w:t>
      </w:r>
      <w:r w:rsidRPr="00FF3F0F">
        <w:rPr>
          <w:b/>
          <w:sz w:val="24"/>
        </w:rPr>
        <w:t xml:space="preserve"> CCLC Grant Name (school district or CBO)</w:t>
      </w:r>
      <w:r w:rsidRPr="00FF3F0F">
        <w:t>: _________________________________________________________________________________________</w:t>
      </w:r>
    </w:p>
    <w:p w14:paraId="45C3BFAB" w14:textId="77777777" w:rsidR="00FF3F0F" w:rsidRPr="00FF3F0F" w:rsidRDefault="00FF3F0F" w:rsidP="00FF3F0F"/>
    <w:tbl>
      <w:tblPr>
        <w:tblStyle w:val="TableGrid1"/>
        <w:tblW w:w="15120" w:type="dxa"/>
        <w:tblInd w:w="-375" w:type="dxa"/>
        <w:tblLook w:val="04A0" w:firstRow="1" w:lastRow="0" w:firstColumn="1" w:lastColumn="0" w:noHBand="0" w:noVBand="1"/>
      </w:tblPr>
      <w:tblGrid>
        <w:gridCol w:w="1800"/>
        <w:gridCol w:w="3690"/>
        <w:gridCol w:w="4770"/>
        <w:gridCol w:w="4860"/>
      </w:tblGrid>
      <w:tr w:rsidR="00FF3F0F" w:rsidRPr="00FF3F0F" w14:paraId="07A957D2" w14:textId="77777777" w:rsidTr="00C83994">
        <w:trPr>
          <w:trHeight w:val="1077"/>
        </w:trPr>
        <w:tc>
          <w:tcPr>
            <w:tcW w:w="1800" w:type="dxa"/>
            <w:tcBorders>
              <w:top w:val="single" w:sz="12" w:space="0" w:color="auto"/>
              <w:left w:val="single" w:sz="12" w:space="0" w:color="auto"/>
              <w:bottom w:val="single" w:sz="12" w:space="0" w:color="auto"/>
            </w:tcBorders>
            <w:shd w:val="clear" w:color="auto" w:fill="EDEDED" w:themeFill="accent3" w:themeFillTint="33"/>
            <w:vAlign w:val="center"/>
          </w:tcPr>
          <w:p w14:paraId="019CCBA8" w14:textId="77777777" w:rsidR="00FF3F0F" w:rsidRPr="00FF3F0F" w:rsidRDefault="00FF3F0F" w:rsidP="00FF3F0F">
            <w:pPr>
              <w:jc w:val="center"/>
              <w:rPr>
                <w:b/>
                <w:sz w:val="28"/>
              </w:rPr>
            </w:pPr>
            <w:r w:rsidRPr="00FF3F0F">
              <w:rPr>
                <w:b/>
                <w:sz w:val="28"/>
              </w:rPr>
              <w:t>State Goals</w:t>
            </w:r>
          </w:p>
        </w:tc>
        <w:tc>
          <w:tcPr>
            <w:tcW w:w="3690" w:type="dxa"/>
            <w:tcBorders>
              <w:top w:val="single" w:sz="12" w:space="0" w:color="auto"/>
              <w:bottom w:val="single" w:sz="12" w:space="0" w:color="auto"/>
              <w:right w:val="single" w:sz="12" w:space="0" w:color="auto"/>
            </w:tcBorders>
            <w:shd w:val="clear" w:color="auto" w:fill="EDEDED" w:themeFill="accent3" w:themeFillTint="33"/>
            <w:vAlign w:val="center"/>
          </w:tcPr>
          <w:p w14:paraId="773D98E9" w14:textId="77777777" w:rsidR="00FF3F0F" w:rsidRPr="00FF3F0F" w:rsidRDefault="00FF3F0F" w:rsidP="00FF3F0F">
            <w:pPr>
              <w:jc w:val="center"/>
              <w:rPr>
                <w:b/>
                <w:sz w:val="28"/>
              </w:rPr>
            </w:pPr>
            <w:r w:rsidRPr="00FF3F0F">
              <w:rPr>
                <w:b/>
                <w:sz w:val="28"/>
              </w:rPr>
              <w:t>Performance Indicators</w:t>
            </w:r>
          </w:p>
        </w:tc>
        <w:tc>
          <w:tcPr>
            <w:tcW w:w="4770" w:type="dxa"/>
            <w:tcBorders>
              <w:top w:val="single" w:sz="12" w:space="0" w:color="auto"/>
              <w:bottom w:val="single" w:sz="12" w:space="0" w:color="auto"/>
            </w:tcBorders>
            <w:shd w:val="clear" w:color="auto" w:fill="EDEDED" w:themeFill="accent3" w:themeFillTint="33"/>
          </w:tcPr>
          <w:p w14:paraId="11201B49" w14:textId="77777777" w:rsidR="00FF3F0F" w:rsidRPr="00FF3F0F" w:rsidRDefault="00FF3F0F" w:rsidP="00FF3F0F">
            <w:pPr>
              <w:jc w:val="center"/>
              <w:rPr>
                <w:b/>
                <w:sz w:val="28"/>
              </w:rPr>
            </w:pPr>
            <w:r w:rsidRPr="00FF3F0F">
              <w:rPr>
                <w:b/>
                <w:sz w:val="28"/>
              </w:rPr>
              <w:t xml:space="preserve">How will you achieve this goal? </w:t>
            </w:r>
          </w:p>
          <w:p w14:paraId="17C3691C" w14:textId="77777777" w:rsidR="00FF3F0F" w:rsidRPr="00FF3F0F" w:rsidRDefault="00FF3F0F" w:rsidP="00FF3F0F">
            <w:pPr>
              <w:jc w:val="center"/>
              <w:rPr>
                <w:b/>
                <w:sz w:val="28"/>
              </w:rPr>
            </w:pPr>
            <w:r w:rsidRPr="00FF3F0F">
              <w:rPr>
                <w:b/>
                <w:sz w:val="20"/>
              </w:rPr>
              <w:t>Include process, planning, timeframe (month and year)</w:t>
            </w:r>
          </w:p>
        </w:tc>
        <w:tc>
          <w:tcPr>
            <w:tcW w:w="4860" w:type="dxa"/>
            <w:tcBorders>
              <w:top w:val="single" w:sz="12" w:space="0" w:color="auto"/>
              <w:bottom w:val="single" w:sz="12" w:space="0" w:color="auto"/>
              <w:right w:val="single" w:sz="12" w:space="0" w:color="auto"/>
            </w:tcBorders>
            <w:shd w:val="clear" w:color="auto" w:fill="EDEDED" w:themeFill="accent3" w:themeFillTint="33"/>
          </w:tcPr>
          <w:p w14:paraId="3EA40361" w14:textId="6B3EE2DF" w:rsidR="00FF3F0F" w:rsidRPr="00FF3F0F" w:rsidRDefault="00FF3F0F" w:rsidP="00FF3F0F">
            <w:pPr>
              <w:jc w:val="center"/>
              <w:rPr>
                <w:b/>
                <w:sz w:val="28"/>
              </w:rPr>
            </w:pPr>
            <w:r w:rsidRPr="00FF3F0F">
              <w:rPr>
                <w:b/>
                <w:sz w:val="28"/>
              </w:rPr>
              <w:t xml:space="preserve">The </w:t>
            </w:r>
            <w:r w:rsidR="005318FC" w:rsidRPr="005318FC">
              <w:rPr>
                <w:b/>
                <w:sz w:val="28"/>
              </w:rPr>
              <w:t>NHED</w:t>
            </w:r>
            <w:r w:rsidRPr="00FF3F0F">
              <w:rPr>
                <w:b/>
                <w:sz w:val="28"/>
              </w:rPr>
              <w:t>’s expected outcomes</w:t>
            </w:r>
          </w:p>
          <w:p w14:paraId="35228086" w14:textId="44DF23A0" w:rsidR="00FF3F0F" w:rsidRPr="00FF3F0F" w:rsidRDefault="00FF3F0F" w:rsidP="00FF3F0F">
            <w:pPr>
              <w:jc w:val="center"/>
              <w:rPr>
                <w:b/>
                <w:sz w:val="28"/>
              </w:rPr>
            </w:pPr>
            <w:r w:rsidRPr="00FF3F0F">
              <w:rPr>
                <w:b/>
                <w:sz w:val="20"/>
              </w:rPr>
              <w:t xml:space="preserve">Specific metrics and timeframes for how the </w:t>
            </w:r>
            <w:r w:rsidR="005318FC" w:rsidRPr="005318FC">
              <w:rPr>
                <w:b/>
                <w:sz w:val="20"/>
              </w:rPr>
              <w:t>NHED</w:t>
            </w:r>
            <w:r w:rsidRPr="00FF3F0F">
              <w:rPr>
                <w:b/>
                <w:sz w:val="20"/>
              </w:rPr>
              <w:t xml:space="preserve"> will measure the success of that outcome.</w:t>
            </w:r>
          </w:p>
        </w:tc>
      </w:tr>
      <w:tr w:rsidR="00FF3F0F" w:rsidRPr="00FF3F0F" w14:paraId="3CD75320" w14:textId="77777777" w:rsidTr="00C83994">
        <w:trPr>
          <w:trHeight w:val="861"/>
        </w:trPr>
        <w:tc>
          <w:tcPr>
            <w:tcW w:w="1800" w:type="dxa"/>
            <w:vMerge w:val="restart"/>
            <w:tcBorders>
              <w:top w:val="single" w:sz="12" w:space="0" w:color="auto"/>
              <w:left w:val="single" w:sz="12" w:space="0" w:color="auto"/>
            </w:tcBorders>
            <w:vAlign w:val="center"/>
          </w:tcPr>
          <w:p w14:paraId="069ABD2E" w14:textId="77777777" w:rsidR="00FF3F0F" w:rsidRPr="00FF3F0F" w:rsidRDefault="00FF3F0F" w:rsidP="00FF3F0F">
            <w:pPr>
              <w:jc w:val="center"/>
              <w:rPr>
                <w:rFonts w:cstheme="minorHAnsi"/>
                <w:b/>
              </w:rPr>
            </w:pPr>
            <w:r w:rsidRPr="00FF3F0F">
              <w:rPr>
                <w:rFonts w:cstheme="minorHAnsi"/>
                <w:b/>
              </w:rPr>
              <w:t>GPRA MEASURE #1: ACADEMIC ACHIEVEMENT IN NHSAS</w:t>
            </w:r>
          </w:p>
        </w:tc>
        <w:tc>
          <w:tcPr>
            <w:tcW w:w="3690" w:type="dxa"/>
            <w:tcBorders>
              <w:top w:val="single" w:sz="12" w:space="0" w:color="auto"/>
              <w:right w:val="single" w:sz="12" w:space="0" w:color="auto"/>
            </w:tcBorders>
          </w:tcPr>
          <w:p w14:paraId="79582F6D" w14:textId="77777777" w:rsidR="00FF3F0F" w:rsidRPr="00FF3F0F" w:rsidRDefault="00FF3F0F" w:rsidP="00FF3F0F">
            <w:pPr>
              <w:rPr>
                <w:rFonts w:cstheme="minorHAnsi"/>
              </w:rPr>
            </w:pPr>
            <w:r w:rsidRPr="00FF3F0F">
              <w:rPr>
                <w:rFonts w:cstheme="minorHAnsi"/>
              </w:rPr>
              <w:t>Percentage of students in grades 4–8 participating in 21</w:t>
            </w:r>
            <w:r w:rsidRPr="00FF3F0F">
              <w:rPr>
                <w:rFonts w:cstheme="minorHAnsi"/>
                <w:vertAlign w:val="superscript"/>
              </w:rPr>
              <w:t>st</w:t>
            </w:r>
            <w:r w:rsidRPr="00FF3F0F">
              <w:rPr>
                <w:rFonts w:cstheme="minorHAnsi"/>
              </w:rPr>
              <w:t xml:space="preserve"> CCLC programming during the school year and summer who demonstrate growth in reading/language arts on state assessments. </w:t>
            </w:r>
          </w:p>
          <w:p w14:paraId="47205EC2" w14:textId="77777777" w:rsidR="00FF3F0F" w:rsidRPr="00FF3F0F" w:rsidRDefault="00FF3F0F" w:rsidP="00FF3F0F">
            <w:pPr>
              <w:rPr>
                <w:rFonts w:cstheme="minorHAnsi"/>
              </w:rPr>
            </w:pPr>
          </w:p>
        </w:tc>
        <w:tc>
          <w:tcPr>
            <w:tcW w:w="4770" w:type="dxa"/>
            <w:tcBorders>
              <w:top w:val="single" w:sz="12" w:space="0" w:color="auto"/>
            </w:tcBorders>
          </w:tcPr>
          <w:p w14:paraId="3FE0238D" w14:textId="77777777" w:rsidR="00FF3F0F" w:rsidRPr="00FF3F0F" w:rsidRDefault="00FF3F0F" w:rsidP="00FF3F0F">
            <w:pPr>
              <w:rPr>
                <w:rFonts w:cstheme="minorHAnsi"/>
                <w:i/>
              </w:rPr>
            </w:pPr>
            <w:r w:rsidRPr="00FF3F0F">
              <w:rPr>
                <w:rFonts w:cstheme="minorHAnsi"/>
                <w:b/>
                <w:i/>
              </w:rPr>
              <w:t>Example:</w:t>
            </w:r>
            <w:r w:rsidRPr="00FF3F0F">
              <w:rPr>
                <w:rFonts w:cstheme="minorHAnsi"/>
                <w:i/>
              </w:rPr>
              <w:t xml:space="preserve"> </w:t>
            </w:r>
          </w:p>
          <w:p w14:paraId="14C0A15B" w14:textId="065D5966" w:rsidR="00FF3F0F" w:rsidRPr="00FF3F0F" w:rsidRDefault="00FF3F0F" w:rsidP="00FF3F0F">
            <w:pPr>
              <w:numPr>
                <w:ilvl w:val="0"/>
                <w:numId w:val="3"/>
              </w:numPr>
              <w:contextualSpacing/>
              <w:rPr>
                <w:rFonts w:cstheme="minorHAnsi"/>
                <w:i/>
              </w:rPr>
            </w:pPr>
            <w:r w:rsidRPr="00FF3F0F">
              <w:rPr>
                <w:rFonts w:cstheme="minorHAnsi"/>
                <w:i/>
              </w:rPr>
              <w:t>For all students entering grades 4-8 in 202</w:t>
            </w:r>
            <w:r w:rsidR="00D41FB3">
              <w:rPr>
                <w:rFonts w:cstheme="minorHAnsi"/>
                <w:i/>
              </w:rPr>
              <w:t>3</w:t>
            </w:r>
            <w:r w:rsidRPr="00FF3F0F">
              <w:rPr>
                <w:rFonts w:cstheme="minorHAnsi"/>
                <w:i/>
              </w:rPr>
              <w:t>-2</w:t>
            </w:r>
            <w:r w:rsidR="00D41FB3">
              <w:rPr>
                <w:rFonts w:cstheme="minorHAnsi"/>
                <w:i/>
              </w:rPr>
              <w:t>4</w:t>
            </w:r>
            <w:r w:rsidRPr="00FF3F0F">
              <w:rPr>
                <w:rFonts w:cstheme="minorHAnsi"/>
                <w:i/>
              </w:rPr>
              <w:t>, the program will review the Spring 2021 state assessment results for all students looking for trends, and for each individual student looking at assessment results.</w:t>
            </w:r>
          </w:p>
          <w:p w14:paraId="3CFADE53" w14:textId="77777777" w:rsidR="00FF3F0F" w:rsidRPr="00FF3F0F" w:rsidRDefault="00FF3F0F" w:rsidP="00FF3F0F">
            <w:pPr>
              <w:numPr>
                <w:ilvl w:val="0"/>
                <w:numId w:val="3"/>
              </w:numPr>
              <w:contextualSpacing/>
              <w:rPr>
                <w:rFonts w:cstheme="minorHAnsi"/>
                <w:i/>
              </w:rPr>
            </w:pPr>
            <w:r w:rsidRPr="00FF3F0F">
              <w:rPr>
                <w:rFonts w:cstheme="minorHAnsi"/>
                <w:i/>
              </w:rPr>
              <w:t>The program will identify at least 1 standard based learning target in ELA to emphasize across all students per grade.</w:t>
            </w:r>
          </w:p>
          <w:p w14:paraId="7F2FEDD1" w14:textId="77777777" w:rsidR="00FF3F0F" w:rsidRPr="00FF3F0F" w:rsidRDefault="00FF3F0F" w:rsidP="00FF3F0F">
            <w:pPr>
              <w:numPr>
                <w:ilvl w:val="0"/>
                <w:numId w:val="3"/>
              </w:numPr>
              <w:contextualSpacing/>
              <w:rPr>
                <w:rFonts w:cstheme="minorHAnsi"/>
                <w:i/>
              </w:rPr>
            </w:pPr>
            <w:r w:rsidRPr="00FF3F0F">
              <w:rPr>
                <w:rFonts w:cstheme="minorHAnsi"/>
                <w:i/>
              </w:rPr>
              <w:t xml:space="preserve">The program will identify at least 1 additional standard based learning target </w:t>
            </w:r>
            <w:r w:rsidRPr="00FF3F0F">
              <w:rPr>
                <w:rFonts w:cstheme="minorHAnsi"/>
                <w:i/>
              </w:rPr>
              <w:lastRenderedPageBreak/>
              <w:t>in ELA to emphasize that may differ for each individual student.</w:t>
            </w:r>
          </w:p>
          <w:p w14:paraId="6CC358B1" w14:textId="1018BB21" w:rsidR="00FF3F0F" w:rsidRPr="00FF3F0F" w:rsidRDefault="00FF3F0F" w:rsidP="00FF3F0F">
            <w:pPr>
              <w:numPr>
                <w:ilvl w:val="0"/>
                <w:numId w:val="3"/>
              </w:numPr>
              <w:contextualSpacing/>
              <w:rPr>
                <w:rFonts w:cstheme="minorHAnsi"/>
                <w:i/>
              </w:rPr>
            </w:pPr>
            <w:r w:rsidRPr="00FF3F0F">
              <w:rPr>
                <w:rFonts w:cstheme="minorHAnsi"/>
                <w:i/>
              </w:rPr>
              <w:t xml:space="preserve">The program will target students for tutoring, provide pre-assessment and post-assessment at 9 weeks. Re-evaluate student progress and alignment with school day.  The program will use the NH SAS Modular assessments or a reading inventory such as Fountas and Pinnell Benchmark Assessment, Qualitative Reading Inventory, </w:t>
            </w:r>
            <w:r w:rsidR="009317E5" w:rsidRPr="00FF3F0F">
              <w:rPr>
                <w:rFonts w:cstheme="minorHAnsi"/>
                <w:i/>
              </w:rPr>
              <w:t>DRA,</w:t>
            </w:r>
            <w:r w:rsidRPr="00FF3F0F">
              <w:rPr>
                <w:rFonts w:cstheme="minorHAnsi"/>
                <w:i/>
              </w:rPr>
              <w:t xml:space="preserve"> or another reading inventory to track progress in Levels or </w:t>
            </w:r>
            <w:r w:rsidR="009317E5" w:rsidRPr="00FF3F0F">
              <w:rPr>
                <w:rFonts w:cstheme="minorHAnsi"/>
                <w:i/>
              </w:rPr>
              <w:t>Lexile’s</w:t>
            </w:r>
            <w:r w:rsidRPr="00FF3F0F">
              <w:rPr>
                <w:rFonts w:cstheme="minorHAnsi"/>
                <w:i/>
              </w:rPr>
              <w:t>.</w:t>
            </w:r>
          </w:p>
        </w:tc>
        <w:tc>
          <w:tcPr>
            <w:tcW w:w="4860" w:type="dxa"/>
            <w:tcBorders>
              <w:top w:val="single" w:sz="12" w:space="0" w:color="auto"/>
              <w:right w:val="single" w:sz="12" w:space="0" w:color="auto"/>
            </w:tcBorders>
          </w:tcPr>
          <w:p w14:paraId="1D2E828D" w14:textId="147F207F" w:rsidR="00FF3F0F" w:rsidRPr="00FF3F0F" w:rsidRDefault="00FF3F0F" w:rsidP="00FF3F0F">
            <w:pPr>
              <w:numPr>
                <w:ilvl w:val="0"/>
                <w:numId w:val="3"/>
              </w:numPr>
              <w:contextualSpacing/>
              <w:rPr>
                <w:rFonts w:cstheme="minorHAnsi"/>
                <w:i/>
              </w:rPr>
            </w:pPr>
            <w:r w:rsidRPr="00FF3F0F">
              <w:rPr>
                <w:rFonts w:cstheme="minorHAnsi"/>
                <w:i/>
              </w:rPr>
              <w:lastRenderedPageBreak/>
              <w:t xml:space="preserve">The </w:t>
            </w:r>
            <w:r w:rsidR="005318FC" w:rsidRPr="005318FC">
              <w:rPr>
                <w:rFonts w:cstheme="minorHAnsi"/>
                <w:i/>
              </w:rPr>
              <w:t>NHED</w:t>
            </w:r>
            <w:r w:rsidRPr="00FF3F0F">
              <w:rPr>
                <w:rFonts w:cstheme="minorHAnsi"/>
                <w:i/>
              </w:rPr>
              <w:t xml:space="preserve"> expects at least 20% of our students who are not already at the top level to improve one proficiency level between their 202</w:t>
            </w:r>
            <w:r w:rsidR="00D41FB3">
              <w:rPr>
                <w:rFonts w:cstheme="minorHAnsi"/>
                <w:i/>
              </w:rPr>
              <w:t>2</w:t>
            </w:r>
            <w:r w:rsidRPr="00FF3F0F">
              <w:rPr>
                <w:rFonts w:cstheme="minorHAnsi"/>
                <w:i/>
              </w:rPr>
              <w:t>-2</w:t>
            </w:r>
            <w:r w:rsidR="00D41FB3">
              <w:rPr>
                <w:rFonts w:cstheme="minorHAnsi"/>
                <w:i/>
              </w:rPr>
              <w:t>3</w:t>
            </w:r>
            <w:r w:rsidRPr="00FF3F0F">
              <w:rPr>
                <w:rFonts w:cstheme="minorHAnsi"/>
                <w:i/>
              </w:rPr>
              <w:t xml:space="preserve"> ELA NH SAS (or DLM) assessment and their 202</w:t>
            </w:r>
            <w:r w:rsidR="00D41FB3">
              <w:rPr>
                <w:rFonts w:cstheme="minorHAnsi"/>
                <w:i/>
              </w:rPr>
              <w:t>3</w:t>
            </w:r>
            <w:r w:rsidRPr="00FF3F0F">
              <w:rPr>
                <w:rFonts w:cstheme="minorHAnsi"/>
                <w:i/>
              </w:rPr>
              <w:t>-2</w:t>
            </w:r>
            <w:r w:rsidR="00D41FB3">
              <w:rPr>
                <w:rFonts w:cstheme="minorHAnsi"/>
                <w:i/>
              </w:rPr>
              <w:t>4</w:t>
            </w:r>
            <w:r w:rsidRPr="00FF3F0F">
              <w:rPr>
                <w:rFonts w:cstheme="minorHAnsi"/>
                <w:i/>
              </w:rPr>
              <w:t xml:space="preserve"> ELA NH SAS (or DLM) assessment. </w:t>
            </w:r>
          </w:p>
          <w:p w14:paraId="1C5325A1" w14:textId="7425CF68" w:rsidR="00FF3F0F" w:rsidRPr="00FF3F0F" w:rsidRDefault="00FF3F0F" w:rsidP="00FF3F0F">
            <w:pPr>
              <w:numPr>
                <w:ilvl w:val="0"/>
                <w:numId w:val="3"/>
              </w:numPr>
              <w:contextualSpacing/>
              <w:rPr>
                <w:rFonts w:cstheme="minorHAnsi"/>
                <w:i/>
              </w:rPr>
            </w:pPr>
            <w:r w:rsidRPr="00FF3F0F">
              <w:rPr>
                <w:rFonts w:cstheme="minorHAnsi"/>
                <w:i/>
              </w:rPr>
              <w:t xml:space="preserve">The </w:t>
            </w:r>
            <w:r w:rsidR="005318FC" w:rsidRPr="005318FC">
              <w:rPr>
                <w:rFonts w:cstheme="minorHAnsi"/>
                <w:i/>
              </w:rPr>
              <w:t>NHED</w:t>
            </w:r>
            <w:r w:rsidRPr="00FF3F0F">
              <w:rPr>
                <w:rFonts w:cstheme="minorHAnsi"/>
                <w:i/>
              </w:rPr>
              <w:t xml:space="preserve"> expects at least 60% of our students to achieve a growth score at the end of 202</w:t>
            </w:r>
            <w:r w:rsidR="00D41FB3">
              <w:rPr>
                <w:rFonts w:cstheme="minorHAnsi"/>
                <w:i/>
              </w:rPr>
              <w:t>3</w:t>
            </w:r>
            <w:r w:rsidRPr="00FF3F0F">
              <w:rPr>
                <w:rFonts w:cstheme="minorHAnsi"/>
                <w:i/>
              </w:rPr>
              <w:t>-2</w:t>
            </w:r>
            <w:r w:rsidR="00D41FB3">
              <w:rPr>
                <w:rFonts w:cstheme="minorHAnsi"/>
                <w:i/>
              </w:rPr>
              <w:t>4</w:t>
            </w:r>
            <w:r w:rsidRPr="00FF3F0F">
              <w:rPr>
                <w:rFonts w:cstheme="minorHAnsi"/>
                <w:i/>
              </w:rPr>
              <w:t xml:space="preserve"> on the NH SAS above the 50% mark.</w:t>
            </w:r>
          </w:p>
        </w:tc>
      </w:tr>
      <w:tr w:rsidR="00FF3F0F" w:rsidRPr="00FF3F0F" w14:paraId="0B865190" w14:textId="77777777" w:rsidTr="00C83994">
        <w:trPr>
          <w:trHeight w:val="1278"/>
        </w:trPr>
        <w:tc>
          <w:tcPr>
            <w:tcW w:w="1800" w:type="dxa"/>
            <w:vMerge/>
            <w:tcBorders>
              <w:left w:val="single" w:sz="12" w:space="0" w:color="auto"/>
              <w:bottom w:val="nil"/>
            </w:tcBorders>
            <w:vAlign w:val="center"/>
          </w:tcPr>
          <w:p w14:paraId="2B9CD0F6" w14:textId="77777777" w:rsidR="00FF3F0F" w:rsidRPr="00FF3F0F" w:rsidRDefault="00FF3F0F" w:rsidP="00FF3F0F">
            <w:pPr>
              <w:jc w:val="center"/>
              <w:rPr>
                <w:rFonts w:cstheme="minorHAnsi"/>
                <w:b/>
              </w:rPr>
            </w:pPr>
          </w:p>
        </w:tc>
        <w:tc>
          <w:tcPr>
            <w:tcW w:w="3690" w:type="dxa"/>
            <w:tcBorders>
              <w:bottom w:val="single" w:sz="12" w:space="0" w:color="auto"/>
              <w:right w:val="single" w:sz="12" w:space="0" w:color="auto"/>
            </w:tcBorders>
          </w:tcPr>
          <w:p w14:paraId="3A093B25" w14:textId="77777777" w:rsidR="00FF3F0F" w:rsidRPr="00FF3F0F" w:rsidRDefault="00FF3F0F" w:rsidP="00FF3F0F">
            <w:pPr>
              <w:rPr>
                <w:rFonts w:cstheme="minorHAnsi"/>
              </w:rPr>
            </w:pPr>
            <w:r w:rsidRPr="00FF3F0F">
              <w:rPr>
                <w:rFonts w:cstheme="minorHAnsi"/>
              </w:rPr>
              <w:t>Percentage of students in grades 4–8 participating in 21</w:t>
            </w:r>
            <w:r w:rsidRPr="00FF3F0F">
              <w:rPr>
                <w:rFonts w:cstheme="minorHAnsi"/>
                <w:vertAlign w:val="superscript"/>
              </w:rPr>
              <w:t>st</w:t>
            </w:r>
            <w:r w:rsidRPr="00FF3F0F">
              <w:rPr>
                <w:rFonts w:cstheme="minorHAnsi"/>
              </w:rPr>
              <w:t xml:space="preserve"> CCLC programming during the school year and summer who demonstrate growth in mathematics on state assessments. </w:t>
            </w:r>
          </w:p>
          <w:p w14:paraId="0F2EC2C0" w14:textId="77777777" w:rsidR="00FF3F0F" w:rsidRPr="00FF3F0F" w:rsidRDefault="00FF3F0F" w:rsidP="00FF3F0F">
            <w:pPr>
              <w:rPr>
                <w:rFonts w:cstheme="minorHAnsi"/>
              </w:rPr>
            </w:pPr>
          </w:p>
        </w:tc>
        <w:tc>
          <w:tcPr>
            <w:tcW w:w="4770" w:type="dxa"/>
            <w:tcBorders>
              <w:bottom w:val="single" w:sz="12" w:space="0" w:color="auto"/>
            </w:tcBorders>
          </w:tcPr>
          <w:p w14:paraId="0FF1FE18" w14:textId="3BC304C5" w:rsidR="00FF3F0F" w:rsidRPr="00FF3F0F" w:rsidRDefault="00FF3F0F" w:rsidP="00FA21DF">
            <w:pPr>
              <w:rPr>
                <w:rFonts w:cstheme="minorHAnsi"/>
                <w:i/>
              </w:rPr>
            </w:pPr>
            <w:r w:rsidRPr="00FF3F0F">
              <w:rPr>
                <w:rFonts w:cstheme="minorHAnsi"/>
                <w:b/>
                <w:i/>
              </w:rPr>
              <w:t>Example:</w:t>
            </w:r>
            <w:r w:rsidRPr="00FF3F0F">
              <w:rPr>
                <w:rFonts w:cstheme="minorHAnsi"/>
                <w:i/>
              </w:rPr>
              <w:t xml:space="preserve"> See above for ELA. </w:t>
            </w:r>
            <w:r w:rsidR="00FA21DF">
              <w:rPr>
                <w:rFonts w:cstheme="minorHAnsi"/>
                <w:i/>
              </w:rPr>
              <w:t>The program</w:t>
            </w:r>
            <w:r w:rsidRPr="00FF3F0F">
              <w:rPr>
                <w:rFonts w:cstheme="minorHAnsi"/>
                <w:i/>
              </w:rPr>
              <w:t xml:space="preserve"> will follow a similar process for Math for all students entering grades 4-8 in 202</w:t>
            </w:r>
            <w:r w:rsidR="00D41FB3">
              <w:rPr>
                <w:rFonts w:cstheme="minorHAnsi"/>
                <w:i/>
              </w:rPr>
              <w:t>3</w:t>
            </w:r>
            <w:r w:rsidRPr="00FF3F0F">
              <w:rPr>
                <w:rFonts w:cstheme="minorHAnsi"/>
                <w:i/>
              </w:rPr>
              <w:t>-2</w:t>
            </w:r>
            <w:r w:rsidR="00D41FB3">
              <w:rPr>
                <w:rFonts w:cstheme="minorHAnsi"/>
                <w:i/>
              </w:rPr>
              <w:t>4</w:t>
            </w:r>
            <w:r w:rsidRPr="00FF3F0F">
              <w:rPr>
                <w:rFonts w:cstheme="minorHAnsi"/>
                <w:i/>
              </w:rPr>
              <w:t>.</w:t>
            </w:r>
          </w:p>
        </w:tc>
        <w:tc>
          <w:tcPr>
            <w:tcW w:w="4860" w:type="dxa"/>
            <w:tcBorders>
              <w:bottom w:val="single" w:sz="12" w:space="0" w:color="auto"/>
              <w:right w:val="single" w:sz="12" w:space="0" w:color="auto"/>
            </w:tcBorders>
          </w:tcPr>
          <w:p w14:paraId="51AD96FD" w14:textId="296D415E" w:rsidR="00FF3F0F" w:rsidRPr="00FF3F0F" w:rsidRDefault="00FF3F0F" w:rsidP="00FA21DF">
            <w:pPr>
              <w:rPr>
                <w:rFonts w:cstheme="minorHAnsi"/>
                <w:i/>
              </w:rPr>
            </w:pPr>
            <w:r w:rsidRPr="00FF3F0F">
              <w:rPr>
                <w:rFonts w:cstheme="minorHAnsi"/>
                <w:i/>
              </w:rPr>
              <w:t xml:space="preserve">See above for ELA. </w:t>
            </w:r>
            <w:r w:rsidR="00FA21DF">
              <w:rPr>
                <w:rFonts w:cstheme="minorHAnsi"/>
                <w:i/>
              </w:rPr>
              <w:t xml:space="preserve">The </w:t>
            </w:r>
            <w:r w:rsidR="005318FC" w:rsidRPr="005318FC">
              <w:rPr>
                <w:rFonts w:cstheme="minorHAnsi"/>
                <w:i/>
              </w:rPr>
              <w:t>NHED</w:t>
            </w:r>
            <w:r w:rsidRPr="00FF3F0F">
              <w:rPr>
                <w:rFonts w:cstheme="minorHAnsi"/>
                <w:i/>
              </w:rPr>
              <w:t xml:space="preserve"> will follow a similar process for Math for all students entering grades 4-8 in 202</w:t>
            </w:r>
            <w:r w:rsidR="00D41FB3">
              <w:rPr>
                <w:rFonts w:cstheme="minorHAnsi"/>
                <w:i/>
              </w:rPr>
              <w:t>3</w:t>
            </w:r>
            <w:r w:rsidRPr="00FF3F0F">
              <w:rPr>
                <w:rFonts w:cstheme="minorHAnsi"/>
                <w:i/>
              </w:rPr>
              <w:t>-2</w:t>
            </w:r>
            <w:r w:rsidR="00D41FB3">
              <w:rPr>
                <w:rFonts w:cstheme="minorHAnsi"/>
                <w:i/>
              </w:rPr>
              <w:t>4</w:t>
            </w:r>
            <w:r w:rsidRPr="00FF3F0F">
              <w:rPr>
                <w:rFonts w:cstheme="minorHAnsi"/>
                <w:i/>
              </w:rPr>
              <w:t>.</w:t>
            </w:r>
          </w:p>
        </w:tc>
      </w:tr>
      <w:tr w:rsidR="00FF3F0F" w:rsidRPr="00FF3F0F" w14:paraId="3DB8F904" w14:textId="77777777" w:rsidTr="00C83994">
        <w:trPr>
          <w:trHeight w:val="1278"/>
        </w:trPr>
        <w:tc>
          <w:tcPr>
            <w:tcW w:w="1800" w:type="dxa"/>
            <w:tcBorders>
              <w:top w:val="nil"/>
              <w:left w:val="single" w:sz="12" w:space="0" w:color="auto"/>
              <w:bottom w:val="single" w:sz="12" w:space="0" w:color="auto"/>
            </w:tcBorders>
            <w:vAlign w:val="center"/>
          </w:tcPr>
          <w:p w14:paraId="3AF3B922" w14:textId="77777777" w:rsidR="00FF3F0F" w:rsidRPr="00FF3F0F" w:rsidRDefault="00FF3F0F" w:rsidP="00FF3F0F">
            <w:pPr>
              <w:jc w:val="center"/>
              <w:rPr>
                <w:rFonts w:cstheme="minorHAnsi"/>
                <w:b/>
              </w:rPr>
            </w:pPr>
          </w:p>
        </w:tc>
        <w:tc>
          <w:tcPr>
            <w:tcW w:w="3690" w:type="dxa"/>
            <w:tcBorders>
              <w:bottom w:val="single" w:sz="12" w:space="0" w:color="auto"/>
              <w:right w:val="single" w:sz="12" w:space="0" w:color="auto"/>
            </w:tcBorders>
          </w:tcPr>
          <w:p w14:paraId="3312338E" w14:textId="77777777" w:rsidR="00FF3F0F" w:rsidRPr="00FF3F0F" w:rsidRDefault="00FF3F0F" w:rsidP="00FF3F0F">
            <w:pPr>
              <w:rPr>
                <w:rFonts w:cstheme="minorHAnsi"/>
              </w:rPr>
            </w:pPr>
            <w:r w:rsidRPr="00FF3F0F">
              <w:rPr>
                <w:rFonts w:cstheme="minorHAnsi"/>
              </w:rPr>
              <w:t>[include local Assessment growth measures for other grades outside of 4-8, that you plan to track]</w:t>
            </w:r>
          </w:p>
        </w:tc>
        <w:tc>
          <w:tcPr>
            <w:tcW w:w="4770" w:type="dxa"/>
            <w:tcBorders>
              <w:bottom w:val="single" w:sz="12" w:space="0" w:color="auto"/>
            </w:tcBorders>
          </w:tcPr>
          <w:p w14:paraId="5C509F22" w14:textId="77777777" w:rsidR="00FF3F0F" w:rsidRPr="00FF3F0F" w:rsidRDefault="00FF3F0F" w:rsidP="00FF3F0F">
            <w:pPr>
              <w:rPr>
                <w:rFonts w:cstheme="minorHAnsi"/>
                <w:b/>
                <w:i/>
              </w:rPr>
            </w:pPr>
          </w:p>
        </w:tc>
        <w:tc>
          <w:tcPr>
            <w:tcW w:w="4860" w:type="dxa"/>
            <w:tcBorders>
              <w:bottom w:val="single" w:sz="12" w:space="0" w:color="auto"/>
              <w:right w:val="single" w:sz="12" w:space="0" w:color="auto"/>
            </w:tcBorders>
          </w:tcPr>
          <w:p w14:paraId="1BF5BF4F" w14:textId="77777777" w:rsidR="00FF3F0F" w:rsidRPr="00FF3F0F" w:rsidRDefault="00FF3F0F" w:rsidP="00FF3F0F">
            <w:pPr>
              <w:rPr>
                <w:rFonts w:cstheme="minorHAnsi"/>
                <w:b/>
                <w:i/>
              </w:rPr>
            </w:pPr>
          </w:p>
        </w:tc>
      </w:tr>
      <w:tr w:rsidR="00FF3F0F" w:rsidRPr="00FF3F0F" w14:paraId="153F2186" w14:textId="77777777" w:rsidTr="00C83994">
        <w:trPr>
          <w:trHeight w:val="40"/>
        </w:trPr>
        <w:tc>
          <w:tcPr>
            <w:tcW w:w="1800" w:type="dxa"/>
            <w:tcBorders>
              <w:top w:val="single" w:sz="12" w:space="0" w:color="auto"/>
              <w:left w:val="single" w:sz="12" w:space="0" w:color="auto"/>
              <w:bottom w:val="single" w:sz="4" w:space="0" w:color="auto"/>
            </w:tcBorders>
            <w:vAlign w:val="center"/>
          </w:tcPr>
          <w:p w14:paraId="7C35D495" w14:textId="77777777" w:rsidR="00FF3F0F" w:rsidRPr="00FF3F0F" w:rsidRDefault="00FF3F0F" w:rsidP="00FF3F0F">
            <w:pPr>
              <w:jc w:val="center"/>
              <w:rPr>
                <w:rFonts w:cstheme="minorHAnsi"/>
                <w:b/>
              </w:rPr>
            </w:pPr>
            <w:r w:rsidRPr="00FF3F0F">
              <w:rPr>
                <w:rFonts w:cstheme="minorHAnsi"/>
                <w:b/>
              </w:rPr>
              <w:t>GPRA MEASURE #2: GRADE POINT AVERAGE (GPA)</w:t>
            </w:r>
          </w:p>
        </w:tc>
        <w:tc>
          <w:tcPr>
            <w:tcW w:w="3690" w:type="dxa"/>
            <w:tcBorders>
              <w:top w:val="single" w:sz="12" w:space="0" w:color="auto"/>
              <w:bottom w:val="single" w:sz="12" w:space="0" w:color="auto"/>
              <w:right w:val="single" w:sz="12" w:space="0" w:color="auto"/>
            </w:tcBorders>
          </w:tcPr>
          <w:p w14:paraId="382958EE" w14:textId="77777777" w:rsidR="00FF3F0F" w:rsidRPr="00FF3F0F" w:rsidRDefault="00FF3F0F" w:rsidP="00FF3F0F">
            <w:pPr>
              <w:rPr>
                <w:rFonts w:cstheme="minorHAnsi"/>
              </w:rPr>
            </w:pPr>
            <w:r w:rsidRPr="00FF3F0F">
              <w:rPr>
                <w:rFonts w:cstheme="minorHAnsi"/>
              </w:rPr>
              <w:t>Percentage of students in grades 7–8 and 10–12 attending 21</w:t>
            </w:r>
            <w:r w:rsidRPr="00FF3F0F">
              <w:rPr>
                <w:rFonts w:cstheme="minorHAnsi"/>
                <w:vertAlign w:val="superscript"/>
              </w:rPr>
              <w:t>st</w:t>
            </w:r>
            <w:r w:rsidRPr="00FF3F0F">
              <w:rPr>
                <w:rFonts w:cstheme="minorHAnsi"/>
              </w:rPr>
              <w:t xml:space="preserve"> CCLC programming during the school year and summer with a prior-year unweighted GPA less than 3.0 who demonstrated an improved GPA.</w:t>
            </w:r>
          </w:p>
        </w:tc>
        <w:tc>
          <w:tcPr>
            <w:tcW w:w="4770" w:type="dxa"/>
            <w:tcBorders>
              <w:top w:val="single" w:sz="12" w:space="0" w:color="auto"/>
              <w:bottom w:val="single" w:sz="12" w:space="0" w:color="auto"/>
            </w:tcBorders>
          </w:tcPr>
          <w:p w14:paraId="25458598" w14:textId="77777777" w:rsidR="00FF3F0F" w:rsidRPr="00FF3F0F" w:rsidRDefault="00FF3F0F" w:rsidP="00FF3F0F">
            <w:pPr>
              <w:rPr>
                <w:rFonts w:cstheme="minorHAnsi"/>
                <w:i/>
              </w:rPr>
            </w:pPr>
            <w:r w:rsidRPr="00FF3F0F">
              <w:rPr>
                <w:rFonts w:cstheme="minorHAnsi"/>
                <w:b/>
                <w:i/>
              </w:rPr>
              <w:t>Example:</w:t>
            </w:r>
            <w:r w:rsidRPr="00FF3F0F">
              <w:rPr>
                <w:rFonts w:cstheme="minorHAnsi"/>
                <w:i/>
              </w:rPr>
              <w:t xml:space="preserve"> </w:t>
            </w:r>
          </w:p>
          <w:p w14:paraId="7722D79B" w14:textId="77777777" w:rsidR="00FF3F0F" w:rsidRPr="00FF3F0F" w:rsidRDefault="00FF3F0F" w:rsidP="00FF3F0F">
            <w:pPr>
              <w:numPr>
                <w:ilvl w:val="0"/>
                <w:numId w:val="3"/>
              </w:numPr>
              <w:contextualSpacing/>
              <w:rPr>
                <w:rFonts w:cstheme="minorHAnsi"/>
                <w:i/>
              </w:rPr>
            </w:pPr>
            <w:r w:rsidRPr="00FF3F0F">
              <w:rPr>
                <w:rFonts w:cstheme="minorHAnsi"/>
                <w:i/>
              </w:rPr>
              <w:t xml:space="preserve">For all students the program will target instruction as defined in GPRA measure 1.  </w:t>
            </w:r>
          </w:p>
          <w:p w14:paraId="0EB648C7" w14:textId="77777777" w:rsidR="00FF3F0F" w:rsidRPr="00FF3F0F" w:rsidRDefault="00FF3F0F" w:rsidP="00FF3F0F">
            <w:pPr>
              <w:numPr>
                <w:ilvl w:val="0"/>
                <w:numId w:val="3"/>
              </w:numPr>
              <w:contextualSpacing/>
              <w:rPr>
                <w:rFonts w:cstheme="minorHAnsi"/>
                <w:i/>
              </w:rPr>
            </w:pPr>
            <w:r w:rsidRPr="00FF3F0F">
              <w:rPr>
                <w:rFonts w:cstheme="minorHAnsi"/>
                <w:i/>
              </w:rPr>
              <w:t>The program will reach out to each student’s ELA and/or Math instructor monthly to identify monthly academic learning targets for the student – this can vary from specific math/ELA lessons to executive functioning skills.</w:t>
            </w:r>
          </w:p>
          <w:p w14:paraId="0212AA53" w14:textId="77777777" w:rsidR="00FF3F0F" w:rsidRPr="00FF3F0F" w:rsidRDefault="00FF3F0F" w:rsidP="00FF3F0F">
            <w:pPr>
              <w:numPr>
                <w:ilvl w:val="0"/>
                <w:numId w:val="3"/>
              </w:numPr>
              <w:contextualSpacing/>
              <w:rPr>
                <w:rFonts w:cstheme="minorHAnsi"/>
                <w:i/>
              </w:rPr>
            </w:pPr>
            <w:r w:rsidRPr="00FF3F0F">
              <w:rPr>
                <w:rFonts w:cstheme="minorHAnsi"/>
                <w:i/>
              </w:rPr>
              <w:t>The program will use the [student information system] to house these learning plans.</w:t>
            </w:r>
          </w:p>
          <w:p w14:paraId="211CF630" w14:textId="77777777" w:rsidR="00FF3F0F" w:rsidRPr="00FF3F0F" w:rsidRDefault="00FF3F0F" w:rsidP="00FF3F0F">
            <w:pPr>
              <w:rPr>
                <w:rFonts w:cstheme="minorHAnsi"/>
                <w:i/>
              </w:rPr>
            </w:pPr>
          </w:p>
          <w:p w14:paraId="6F1D6694" w14:textId="77777777" w:rsidR="00FF3F0F" w:rsidRPr="00FF3F0F" w:rsidRDefault="00FF3F0F" w:rsidP="00FF3F0F">
            <w:pPr>
              <w:rPr>
                <w:rFonts w:cstheme="minorHAnsi"/>
                <w:i/>
              </w:rPr>
            </w:pPr>
          </w:p>
        </w:tc>
        <w:tc>
          <w:tcPr>
            <w:tcW w:w="4860" w:type="dxa"/>
            <w:tcBorders>
              <w:top w:val="single" w:sz="12" w:space="0" w:color="auto"/>
              <w:bottom w:val="single" w:sz="12" w:space="0" w:color="auto"/>
              <w:right w:val="single" w:sz="12" w:space="0" w:color="auto"/>
            </w:tcBorders>
          </w:tcPr>
          <w:p w14:paraId="55F5361F" w14:textId="103C1477" w:rsidR="00FF3F0F" w:rsidRPr="00FF3F0F" w:rsidRDefault="00FF3F0F" w:rsidP="00FF3F0F">
            <w:pPr>
              <w:numPr>
                <w:ilvl w:val="0"/>
                <w:numId w:val="3"/>
              </w:numPr>
              <w:contextualSpacing/>
              <w:rPr>
                <w:rFonts w:cstheme="minorHAnsi"/>
                <w:i/>
              </w:rPr>
            </w:pPr>
            <w:r w:rsidRPr="00FF3F0F">
              <w:rPr>
                <w:rFonts w:cstheme="minorHAnsi"/>
                <w:i/>
              </w:rPr>
              <w:lastRenderedPageBreak/>
              <w:t>For students in grades 7, 8 and 9.</w:t>
            </w:r>
            <w:r w:rsidRPr="00FF3F0F">
              <w:rPr>
                <w:rFonts w:cstheme="minorHAnsi"/>
                <w:i/>
              </w:rPr>
              <w:br/>
              <w:t xml:space="preserve">The </w:t>
            </w:r>
            <w:r w:rsidR="005318FC" w:rsidRPr="005318FC">
              <w:rPr>
                <w:rFonts w:cstheme="minorHAnsi"/>
                <w:i/>
              </w:rPr>
              <w:t>NHED</w:t>
            </w:r>
            <w:r w:rsidRPr="00FF3F0F">
              <w:rPr>
                <w:rFonts w:cstheme="minorHAnsi"/>
                <w:i/>
              </w:rPr>
              <w:t xml:space="preserve"> will use the state survey to have the guidance counselor (or appropriate educator) for each student in grades 7-9, identify each student’s academic learning as ‘significant growth’, ’moderate growth’, ‘no growth’, ‘drop in achievement’, ‘at top no ability to grow’.  The </w:t>
            </w:r>
            <w:r w:rsidR="005318FC" w:rsidRPr="005318FC">
              <w:rPr>
                <w:rFonts w:cstheme="minorHAnsi"/>
                <w:i/>
              </w:rPr>
              <w:t>NHED</w:t>
            </w:r>
            <w:r w:rsidRPr="00FF3F0F">
              <w:rPr>
                <w:rFonts w:cstheme="minorHAnsi"/>
                <w:i/>
              </w:rPr>
              <w:t xml:space="preserve"> will expect at least 60% of students not already at the top of the achievement, to have achieved at least moderate growth.</w:t>
            </w:r>
          </w:p>
          <w:p w14:paraId="3B2A34EE" w14:textId="34D7548F" w:rsidR="00FF3F0F" w:rsidRPr="00FF3F0F" w:rsidRDefault="00FF3F0F" w:rsidP="00FF3F0F">
            <w:pPr>
              <w:numPr>
                <w:ilvl w:val="0"/>
                <w:numId w:val="3"/>
              </w:numPr>
              <w:contextualSpacing/>
              <w:rPr>
                <w:rFonts w:cstheme="minorHAnsi"/>
                <w:i/>
              </w:rPr>
            </w:pPr>
            <w:r w:rsidRPr="00FF3F0F">
              <w:rPr>
                <w:rFonts w:cstheme="minorHAnsi"/>
                <w:i/>
              </w:rPr>
              <w:lastRenderedPageBreak/>
              <w:t xml:space="preserve">For students in grades 10-12, the </w:t>
            </w:r>
            <w:r w:rsidR="005318FC" w:rsidRPr="005318FC">
              <w:rPr>
                <w:rFonts w:cstheme="minorHAnsi"/>
                <w:i/>
              </w:rPr>
              <w:t>NHED</w:t>
            </w:r>
            <w:r w:rsidRPr="00FF3F0F">
              <w:rPr>
                <w:rFonts w:cstheme="minorHAnsi"/>
                <w:i/>
              </w:rPr>
              <w:t xml:space="preserve"> will expect the over-all GPA to improve from the cumulative value at the end of 202</w:t>
            </w:r>
            <w:r w:rsidR="00D41FB3">
              <w:rPr>
                <w:rFonts w:cstheme="minorHAnsi"/>
                <w:i/>
              </w:rPr>
              <w:t>3</w:t>
            </w:r>
            <w:r w:rsidRPr="00FF3F0F">
              <w:rPr>
                <w:rFonts w:cstheme="minorHAnsi"/>
                <w:i/>
              </w:rPr>
              <w:t xml:space="preserve"> to the cumulative value at the end of 202</w:t>
            </w:r>
            <w:r w:rsidR="00D41FB3">
              <w:rPr>
                <w:rFonts w:cstheme="minorHAnsi"/>
                <w:i/>
              </w:rPr>
              <w:t>4</w:t>
            </w:r>
            <w:r w:rsidRPr="00FF3F0F">
              <w:rPr>
                <w:rFonts w:cstheme="minorHAnsi"/>
                <w:i/>
              </w:rPr>
              <w:t xml:space="preserve">. The </w:t>
            </w:r>
            <w:r w:rsidR="005318FC" w:rsidRPr="005318FC">
              <w:rPr>
                <w:rFonts w:cstheme="minorHAnsi"/>
                <w:i/>
              </w:rPr>
              <w:t>NHED</w:t>
            </w:r>
            <w:r w:rsidRPr="00FF3F0F">
              <w:rPr>
                <w:rFonts w:cstheme="minorHAnsi"/>
                <w:i/>
              </w:rPr>
              <w:t xml:space="preserve"> will expect at least a .25 for students in grade 10; .15 for students in grade 11 and .1 for students in grade 12. </w:t>
            </w:r>
            <w:r w:rsidR="00240424">
              <w:rPr>
                <w:rFonts w:cstheme="minorHAnsi"/>
                <w:i/>
              </w:rPr>
              <w:t xml:space="preserve">The </w:t>
            </w:r>
            <w:r w:rsidR="005318FC" w:rsidRPr="005318FC">
              <w:rPr>
                <w:rFonts w:cstheme="minorHAnsi"/>
                <w:i/>
              </w:rPr>
              <w:t>NHED</w:t>
            </w:r>
            <w:r w:rsidRPr="00FF3F0F">
              <w:rPr>
                <w:rFonts w:cstheme="minorHAnsi"/>
                <w:i/>
              </w:rPr>
              <w:t xml:space="preserve"> will expect at least 60% of students not already at a top GPA, to have demonstrated this growth. </w:t>
            </w:r>
          </w:p>
          <w:p w14:paraId="5D3D56FD" w14:textId="77777777" w:rsidR="00FF3F0F" w:rsidRPr="00FF3F0F" w:rsidRDefault="00FF3F0F" w:rsidP="00FF3F0F">
            <w:pPr>
              <w:ind w:left="360"/>
              <w:rPr>
                <w:rFonts w:cstheme="minorHAnsi"/>
                <w:i/>
              </w:rPr>
            </w:pPr>
            <w:r w:rsidRPr="00FF3F0F">
              <w:rPr>
                <w:rFonts w:cstheme="minorHAnsi"/>
                <w:i/>
              </w:rPr>
              <w:t>Note: a rubric will be developed to help clarify the levels of growth for grades 7-9, to improve the validity of this measure.</w:t>
            </w:r>
          </w:p>
        </w:tc>
      </w:tr>
      <w:tr w:rsidR="00FF3F0F" w:rsidRPr="00FF3F0F" w14:paraId="27D86416" w14:textId="77777777" w:rsidTr="00C83994">
        <w:trPr>
          <w:trHeight w:val="40"/>
        </w:trPr>
        <w:tc>
          <w:tcPr>
            <w:tcW w:w="1800" w:type="dxa"/>
            <w:tcBorders>
              <w:top w:val="single" w:sz="4" w:space="0" w:color="auto"/>
              <w:left w:val="single" w:sz="12" w:space="0" w:color="auto"/>
              <w:bottom w:val="single" w:sz="12" w:space="0" w:color="auto"/>
            </w:tcBorders>
            <w:vAlign w:val="center"/>
          </w:tcPr>
          <w:p w14:paraId="31F5BD97" w14:textId="77777777" w:rsidR="00FF3F0F" w:rsidRPr="00FF3F0F" w:rsidRDefault="00FF3F0F" w:rsidP="00FF3F0F">
            <w:pPr>
              <w:jc w:val="center"/>
              <w:rPr>
                <w:rFonts w:cstheme="minorHAnsi"/>
                <w:b/>
              </w:rPr>
            </w:pPr>
          </w:p>
        </w:tc>
        <w:tc>
          <w:tcPr>
            <w:tcW w:w="3690" w:type="dxa"/>
            <w:tcBorders>
              <w:top w:val="single" w:sz="12" w:space="0" w:color="auto"/>
              <w:bottom w:val="single" w:sz="12" w:space="0" w:color="auto"/>
              <w:right w:val="single" w:sz="12" w:space="0" w:color="auto"/>
            </w:tcBorders>
          </w:tcPr>
          <w:p w14:paraId="3B770E44" w14:textId="77777777" w:rsidR="00FF3F0F" w:rsidRPr="00FF3F0F" w:rsidRDefault="00FF3F0F" w:rsidP="00FF3F0F">
            <w:pPr>
              <w:rPr>
                <w:rFonts w:cstheme="minorHAnsi"/>
              </w:rPr>
            </w:pPr>
            <w:r w:rsidRPr="00FF3F0F">
              <w:rPr>
                <w:rFonts w:cstheme="minorHAnsi"/>
              </w:rPr>
              <w:t>[include local GPA growth measures for other grades outside of 4-8, that you plan to track]</w:t>
            </w:r>
          </w:p>
        </w:tc>
        <w:tc>
          <w:tcPr>
            <w:tcW w:w="4770" w:type="dxa"/>
            <w:tcBorders>
              <w:top w:val="single" w:sz="12" w:space="0" w:color="auto"/>
              <w:bottom w:val="single" w:sz="12" w:space="0" w:color="auto"/>
            </w:tcBorders>
          </w:tcPr>
          <w:p w14:paraId="616B1A52" w14:textId="77777777" w:rsidR="00FF3F0F" w:rsidRPr="00FF3F0F" w:rsidRDefault="00FF3F0F" w:rsidP="00FF3F0F">
            <w:pPr>
              <w:rPr>
                <w:rFonts w:cstheme="minorHAnsi"/>
                <w:b/>
                <w:i/>
              </w:rPr>
            </w:pPr>
          </w:p>
        </w:tc>
        <w:tc>
          <w:tcPr>
            <w:tcW w:w="4860" w:type="dxa"/>
            <w:tcBorders>
              <w:top w:val="single" w:sz="12" w:space="0" w:color="auto"/>
              <w:bottom w:val="single" w:sz="12" w:space="0" w:color="auto"/>
              <w:right w:val="single" w:sz="12" w:space="0" w:color="auto"/>
            </w:tcBorders>
          </w:tcPr>
          <w:p w14:paraId="64DDB0E6" w14:textId="77777777" w:rsidR="00FF3F0F" w:rsidRPr="00FF3F0F" w:rsidRDefault="00FF3F0F" w:rsidP="00FF3F0F">
            <w:pPr>
              <w:rPr>
                <w:rFonts w:cstheme="minorHAnsi"/>
                <w:b/>
                <w:bCs/>
                <w:i/>
              </w:rPr>
            </w:pPr>
          </w:p>
        </w:tc>
      </w:tr>
      <w:tr w:rsidR="00FF3F0F" w:rsidRPr="00FF3F0F" w14:paraId="395CAA96" w14:textId="77777777" w:rsidTr="00C83994">
        <w:trPr>
          <w:trHeight w:val="1041"/>
        </w:trPr>
        <w:tc>
          <w:tcPr>
            <w:tcW w:w="1800" w:type="dxa"/>
            <w:tcBorders>
              <w:top w:val="single" w:sz="12" w:space="0" w:color="auto"/>
              <w:left w:val="single" w:sz="12" w:space="0" w:color="auto"/>
            </w:tcBorders>
            <w:vAlign w:val="center"/>
          </w:tcPr>
          <w:p w14:paraId="3384757D" w14:textId="77777777" w:rsidR="00FF3F0F" w:rsidRPr="00FF3F0F" w:rsidRDefault="00FF3F0F" w:rsidP="00FF3F0F">
            <w:pPr>
              <w:jc w:val="center"/>
              <w:rPr>
                <w:rFonts w:cstheme="minorHAnsi"/>
                <w:b/>
              </w:rPr>
            </w:pPr>
            <w:r w:rsidRPr="00FF3F0F">
              <w:rPr>
                <w:rFonts w:cstheme="minorHAnsi"/>
                <w:b/>
              </w:rPr>
              <w:t>GPRA MEASURE #3: SCHOOL DAY ATTENDANCE</w:t>
            </w:r>
          </w:p>
        </w:tc>
        <w:tc>
          <w:tcPr>
            <w:tcW w:w="3690" w:type="dxa"/>
            <w:tcBorders>
              <w:top w:val="single" w:sz="12" w:space="0" w:color="auto"/>
              <w:right w:val="single" w:sz="12" w:space="0" w:color="auto"/>
            </w:tcBorders>
          </w:tcPr>
          <w:p w14:paraId="7B9BF98C" w14:textId="77777777" w:rsidR="00FF3F0F" w:rsidRPr="00FF3F0F" w:rsidRDefault="00FF3F0F" w:rsidP="00FF3F0F">
            <w:pPr>
              <w:rPr>
                <w:rFonts w:cstheme="minorHAnsi"/>
              </w:rPr>
            </w:pPr>
            <w:r w:rsidRPr="00FF3F0F">
              <w:rPr>
                <w:rFonts w:cstheme="minorHAnsi"/>
              </w:rPr>
              <w:t>Percentage of youth in grades 1–12 participating in 21st CCLC during the school year:</w:t>
            </w:r>
          </w:p>
          <w:p w14:paraId="29C17875" w14:textId="77777777" w:rsidR="00FF3F0F" w:rsidRPr="00FF3F0F" w:rsidRDefault="00FF3F0F" w:rsidP="00FF3F0F">
            <w:pPr>
              <w:numPr>
                <w:ilvl w:val="0"/>
                <w:numId w:val="2"/>
              </w:numPr>
              <w:contextualSpacing/>
              <w:rPr>
                <w:rFonts w:cstheme="minorHAnsi"/>
              </w:rPr>
            </w:pPr>
            <w:r w:rsidRPr="00FF3F0F">
              <w:rPr>
                <w:rFonts w:cstheme="minorHAnsi"/>
              </w:rPr>
              <w:t>Had a school-day attendance rate at or below 90% in the prior school year; and</w:t>
            </w:r>
          </w:p>
          <w:p w14:paraId="7E36D912" w14:textId="77777777" w:rsidR="00FF3F0F" w:rsidRPr="00FF3F0F" w:rsidRDefault="00FF3F0F" w:rsidP="00FF3F0F">
            <w:pPr>
              <w:numPr>
                <w:ilvl w:val="0"/>
                <w:numId w:val="2"/>
              </w:numPr>
              <w:contextualSpacing/>
              <w:rPr>
                <w:rFonts w:cstheme="minorHAnsi"/>
              </w:rPr>
            </w:pPr>
            <w:r w:rsidRPr="00FF3F0F">
              <w:rPr>
                <w:rFonts w:cstheme="minorHAnsi"/>
              </w:rPr>
              <w:t>Demonstrated an improved attendance rate in the current school year.</w:t>
            </w:r>
          </w:p>
          <w:p w14:paraId="19328D10" w14:textId="77777777" w:rsidR="00FF3F0F" w:rsidRPr="00FF3F0F" w:rsidRDefault="00FF3F0F" w:rsidP="00FF3F0F">
            <w:pPr>
              <w:rPr>
                <w:rFonts w:cstheme="minorHAnsi"/>
              </w:rPr>
            </w:pPr>
          </w:p>
        </w:tc>
        <w:tc>
          <w:tcPr>
            <w:tcW w:w="4770" w:type="dxa"/>
            <w:tcBorders>
              <w:top w:val="single" w:sz="12" w:space="0" w:color="auto"/>
            </w:tcBorders>
          </w:tcPr>
          <w:p w14:paraId="435A6CAA" w14:textId="77777777" w:rsidR="00FF3F0F" w:rsidRPr="00FF3F0F" w:rsidRDefault="00FF3F0F" w:rsidP="00FF3F0F">
            <w:pPr>
              <w:rPr>
                <w:rFonts w:cstheme="minorHAnsi"/>
                <w:i/>
              </w:rPr>
            </w:pPr>
            <w:r w:rsidRPr="00FF3F0F">
              <w:rPr>
                <w:rFonts w:cstheme="minorHAnsi"/>
                <w:b/>
                <w:i/>
              </w:rPr>
              <w:t>Example:</w:t>
            </w:r>
            <w:r w:rsidRPr="00FF3F0F">
              <w:rPr>
                <w:rFonts w:cstheme="minorHAnsi"/>
                <w:i/>
              </w:rPr>
              <w:t xml:space="preserve"> </w:t>
            </w:r>
          </w:p>
          <w:p w14:paraId="7F078507" w14:textId="20DA6013" w:rsidR="00FF3F0F" w:rsidRPr="00FF3F0F" w:rsidRDefault="00FF3F0F" w:rsidP="00FF3F0F">
            <w:pPr>
              <w:numPr>
                <w:ilvl w:val="0"/>
                <w:numId w:val="3"/>
              </w:numPr>
              <w:contextualSpacing/>
              <w:rPr>
                <w:rFonts w:cstheme="minorHAnsi"/>
                <w:i/>
              </w:rPr>
            </w:pPr>
            <w:r w:rsidRPr="00FF3F0F">
              <w:rPr>
                <w:rFonts w:cstheme="minorHAnsi"/>
                <w:i/>
              </w:rPr>
              <w:t>The program will review the NH</w:t>
            </w:r>
            <w:r w:rsidR="005318FC">
              <w:rPr>
                <w:rFonts w:cstheme="minorHAnsi"/>
                <w:i/>
              </w:rPr>
              <w:t>ED</w:t>
            </w:r>
            <w:r w:rsidRPr="00FF3F0F">
              <w:rPr>
                <w:rFonts w:cstheme="minorHAnsi"/>
                <w:i/>
              </w:rPr>
              <w:t xml:space="preserve"> i4see report of 202</w:t>
            </w:r>
            <w:r w:rsidR="00D41FB3">
              <w:rPr>
                <w:rFonts w:cstheme="minorHAnsi"/>
                <w:i/>
              </w:rPr>
              <w:t>2</w:t>
            </w:r>
            <w:r w:rsidRPr="00FF3F0F">
              <w:rPr>
                <w:rFonts w:cstheme="minorHAnsi"/>
                <w:i/>
              </w:rPr>
              <w:t>-2</w:t>
            </w:r>
            <w:r w:rsidR="00D41FB3">
              <w:rPr>
                <w:rFonts w:cstheme="minorHAnsi"/>
                <w:i/>
              </w:rPr>
              <w:t>3</w:t>
            </w:r>
            <w:r w:rsidRPr="00FF3F0F">
              <w:rPr>
                <w:rFonts w:cstheme="minorHAnsi"/>
                <w:i/>
              </w:rPr>
              <w:t xml:space="preserve"> attendance for all our 202</w:t>
            </w:r>
            <w:r w:rsidR="00D41FB3">
              <w:rPr>
                <w:rFonts w:cstheme="minorHAnsi"/>
                <w:i/>
              </w:rPr>
              <w:t>3</w:t>
            </w:r>
            <w:r w:rsidRPr="00FF3F0F">
              <w:rPr>
                <w:rFonts w:cstheme="minorHAnsi"/>
                <w:i/>
              </w:rPr>
              <w:t>-2</w:t>
            </w:r>
            <w:r w:rsidR="00D41FB3">
              <w:rPr>
                <w:rFonts w:cstheme="minorHAnsi"/>
                <w:i/>
              </w:rPr>
              <w:t>4</w:t>
            </w:r>
            <w:r w:rsidRPr="00FF3F0F">
              <w:rPr>
                <w:rFonts w:cstheme="minorHAnsi"/>
                <w:i/>
              </w:rPr>
              <w:t xml:space="preserve"> participants.</w:t>
            </w:r>
          </w:p>
          <w:p w14:paraId="5E87647D" w14:textId="77777777" w:rsidR="00FF3F0F" w:rsidRPr="00FF3F0F" w:rsidRDefault="00FF3F0F" w:rsidP="00FF3F0F">
            <w:pPr>
              <w:numPr>
                <w:ilvl w:val="0"/>
                <w:numId w:val="3"/>
              </w:numPr>
              <w:contextualSpacing/>
              <w:rPr>
                <w:rFonts w:cstheme="minorHAnsi"/>
                <w:i/>
              </w:rPr>
            </w:pPr>
            <w:r w:rsidRPr="00FF3F0F">
              <w:rPr>
                <w:rFonts w:cstheme="minorHAnsi"/>
                <w:i/>
              </w:rPr>
              <w:t>The program will identify students with less than 92% school attendance.</w:t>
            </w:r>
          </w:p>
          <w:p w14:paraId="0B26EE7F" w14:textId="77777777" w:rsidR="00FF3F0F" w:rsidRPr="00FF3F0F" w:rsidRDefault="00FF3F0F" w:rsidP="00FF3F0F">
            <w:pPr>
              <w:numPr>
                <w:ilvl w:val="0"/>
                <w:numId w:val="3"/>
              </w:numPr>
              <w:contextualSpacing/>
              <w:rPr>
                <w:rFonts w:cstheme="minorHAnsi"/>
                <w:i/>
              </w:rPr>
            </w:pPr>
            <w:r w:rsidRPr="00FF3F0F">
              <w:rPr>
                <w:rFonts w:cstheme="minorHAnsi"/>
                <w:i/>
              </w:rPr>
              <w:t xml:space="preserve">The program will target these students who have low attendance rates (&lt;92% attendance). </w:t>
            </w:r>
          </w:p>
          <w:p w14:paraId="6F9844DE" w14:textId="77777777" w:rsidR="00FF3F0F" w:rsidRPr="00FF3F0F" w:rsidRDefault="00FF3F0F" w:rsidP="00FF3F0F">
            <w:pPr>
              <w:numPr>
                <w:ilvl w:val="0"/>
                <w:numId w:val="3"/>
              </w:numPr>
              <w:contextualSpacing/>
              <w:rPr>
                <w:rFonts w:cstheme="minorHAnsi"/>
                <w:i/>
              </w:rPr>
            </w:pPr>
            <w:r w:rsidRPr="00FF3F0F">
              <w:rPr>
                <w:rFonts w:cstheme="minorHAnsi"/>
                <w:i/>
              </w:rPr>
              <w:t xml:space="preserve">The program will Contact parents/students to engage them in your program based off of their personal interests. Provide programming opportunities to engage them and monitor their daily attendance in the school day and after school. </w:t>
            </w:r>
          </w:p>
        </w:tc>
        <w:tc>
          <w:tcPr>
            <w:tcW w:w="4860" w:type="dxa"/>
            <w:tcBorders>
              <w:top w:val="single" w:sz="12" w:space="0" w:color="auto"/>
              <w:right w:val="single" w:sz="12" w:space="0" w:color="auto"/>
            </w:tcBorders>
          </w:tcPr>
          <w:p w14:paraId="3F96E478" w14:textId="261BDD5B" w:rsidR="00FF3F0F" w:rsidRPr="00FF3F0F" w:rsidRDefault="00FF3F0F" w:rsidP="00FF3F0F">
            <w:pPr>
              <w:numPr>
                <w:ilvl w:val="0"/>
                <w:numId w:val="3"/>
              </w:numPr>
              <w:contextualSpacing/>
              <w:rPr>
                <w:rFonts w:cstheme="minorHAnsi"/>
                <w:i/>
              </w:rPr>
            </w:pPr>
            <w:r w:rsidRPr="00FF3F0F">
              <w:rPr>
                <w:rFonts w:cstheme="minorHAnsi"/>
                <w:i/>
              </w:rPr>
              <w:t xml:space="preserve">For all students in grades 1-12, the </w:t>
            </w:r>
            <w:r w:rsidR="005318FC" w:rsidRPr="005318FC">
              <w:rPr>
                <w:rFonts w:cstheme="minorHAnsi"/>
                <w:i/>
              </w:rPr>
              <w:t>NHED</w:t>
            </w:r>
            <w:r w:rsidRPr="00FF3F0F">
              <w:rPr>
                <w:rFonts w:cstheme="minorHAnsi"/>
                <w:i/>
              </w:rPr>
              <w:t xml:space="preserve"> will use the state attendance report to identify student attendance progress.</w:t>
            </w:r>
          </w:p>
          <w:p w14:paraId="1AC7B81F" w14:textId="0F69F4CD" w:rsidR="00FF3F0F" w:rsidRPr="00FF3F0F" w:rsidRDefault="00FF3F0F" w:rsidP="00240424">
            <w:pPr>
              <w:ind w:left="360"/>
              <w:contextualSpacing/>
              <w:rPr>
                <w:rFonts w:cstheme="minorHAnsi"/>
                <w:i/>
              </w:rPr>
            </w:pPr>
            <w:r w:rsidRPr="00FF3F0F">
              <w:rPr>
                <w:rFonts w:cstheme="minorHAnsi"/>
                <w:i/>
              </w:rPr>
              <w:t xml:space="preserve">Note: </w:t>
            </w:r>
            <w:r w:rsidR="00240424">
              <w:rPr>
                <w:rFonts w:cstheme="minorHAnsi"/>
                <w:i/>
              </w:rPr>
              <w:t xml:space="preserve">The </w:t>
            </w:r>
            <w:r w:rsidR="005318FC" w:rsidRPr="005318FC">
              <w:rPr>
                <w:rFonts w:cstheme="minorHAnsi"/>
                <w:i/>
              </w:rPr>
              <w:t>NHED</w:t>
            </w:r>
            <w:r w:rsidRPr="00FF3F0F">
              <w:rPr>
                <w:rFonts w:cstheme="minorHAnsi"/>
                <w:i/>
              </w:rPr>
              <w:t xml:space="preserve"> will only include students who have data in the state system for two years – required to show growth.</w:t>
            </w:r>
          </w:p>
          <w:p w14:paraId="7AEF3FA5" w14:textId="6F9D9441" w:rsidR="00FF3F0F" w:rsidRPr="00FF3F0F" w:rsidRDefault="00FF3F0F" w:rsidP="00FF3F0F">
            <w:pPr>
              <w:numPr>
                <w:ilvl w:val="0"/>
                <w:numId w:val="3"/>
              </w:numPr>
              <w:contextualSpacing/>
              <w:rPr>
                <w:rFonts w:cstheme="minorHAnsi"/>
                <w:i/>
              </w:rPr>
            </w:pPr>
            <w:r w:rsidRPr="00FF3F0F">
              <w:rPr>
                <w:rFonts w:cstheme="minorHAnsi"/>
                <w:i/>
              </w:rPr>
              <w:t>Of 21st CCLC participating students who had less than 90% of attendance in 202</w:t>
            </w:r>
            <w:r w:rsidR="00D41FB3">
              <w:rPr>
                <w:rFonts w:cstheme="minorHAnsi"/>
                <w:i/>
              </w:rPr>
              <w:t>3</w:t>
            </w:r>
            <w:r w:rsidRPr="00FF3F0F">
              <w:rPr>
                <w:rFonts w:cstheme="minorHAnsi"/>
                <w:i/>
              </w:rPr>
              <w:t xml:space="preserve">, the </w:t>
            </w:r>
            <w:r w:rsidR="005318FC" w:rsidRPr="005318FC">
              <w:rPr>
                <w:rFonts w:cstheme="minorHAnsi"/>
                <w:i/>
              </w:rPr>
              <w:t>NHED</w:t>
            </w:r>
            <w:r w:rsidRPr="00FF3F0F">
              <w:rPr>
                <w:rFonts w:cstheme="minorHAnsi"/>
                <w:i/>
              </w:rPr>
              <w:t xml:space="preserve"> will expect at least 60% of those students will have attendance ab</w:t>
            </w:r>
            <w:r w:rsidR="00240424">
              <w:rPr>
                <w:rFonts w:cstheme="minorHAnsi"/>
                <w:i/>
              </w:rPr>
              <w:t>ove 90% in 202</w:t>
            </w:r>
            <w:r w:rsidR="00D41FB3">
              <w:rPr>
                <w:rFonts w:cstheme="minorHAnsi"/>
                <w:i/>
              </w:rPr>
              <w:t>4</w:t>
            </w:r>
            <w:r w:rsidR="00240424">
              <w:rPr>
                <w:rFonts w:cstheme="minorHAnsi"/>
                <w:i/>
              </w:rPr>
              <w:t xml:space="preserve">. </w:t>
            </w:r>
            <w:r w:rsidR="009317E5">
              <w:rPr>
                <w:rFonts w:cstheme="minorHAnsi"/>
                <w:i/>
              </w:rPr>
              <w:t>Additionally,</w:t>
            </w:r>
            <w:r w:rsidR="00240424">
              <w:rPr>
                <w:rFonts w:cstheme="minorHAnsi"/>
                <w:i/>
              </w:rPr>
              <w:t xml:space="preserve"> the </w:t>
            </w:r>
            <w:r w:rsidR="005318FC" w:rsidRPr="005318FC">
              <w:rPr>
                <w:rFonts w:cstheme="minorHAnsi"/>
                <w:i/>
              </w:rPr>
              <w:t>NHED</w:t>
            </w:r>
            <w:r w:rsidRPr="00FF3F0F">
              <w:rPr>
                <w:rFonts w:cstheme="minorHAnsi"/>
                <w:i/>
              </w:rPr>
              <w:t xml:space="preserve"> expect 80% of those students will have improved attendance in 202</w:t>
            </w:r>
            <w:r w:rsidR="00D41FB3">
              <w:rPr>
                <w:rFonts w:cstheme="minorHAnsi"/>
                <w:i/>
              </w:rPr>
              <w:t>4</w:t>
            </w:r>
            <w:r w:rsidRPr="00FF3F0F">
              <w:rPr>
                <w:rFonts w:cstheme="minorHAnsi"/>
                <w:i/>
              </w:rPr>
              <w:t xml:space="preserve">.  </w:t>
            </w:r>
          </w:p>
          <w:p w14:paraId="47699A99" w14:textId="77777777" w:rsidR="00FF3F0F" w:rsidRPr="00FF3F0F" w:rsidRDefault="00FF3F0F" w:rsidP="00FF3F0F">
            <w:pPr>
              <w:numPr>
                <w:ilvl w:val="0"/>
                <w:numId w:val="3"/>
              </w:numPr>
              <w:contextualSpacing/>
              <w:rPr>
                <w:rFonts w:cstheme="minorHAnsi"/>
                <w:i/>
              </w:rPr>
            </w:pPr>
            <w:r w:rsidRPr="00FF3F0F">
              <w:rPr>
                <w:rFonts w:cstheme="minorHAnsi"/>
                <w:iCs/>
              </w:rPr>
              <w:t xml:space="preserve">Schools who have all students above 90% attendance will be expected to continue with that performance level. </w:t>
            </w:r>
          </w:p>
        </w:tc>
      </w:tr>
      <w:tr w:rsidR="00FF3F0F" w:rsidRPr="00FF3F0F" w14:paraId="6427BA7C" w14:textId="77777777" w:rsidTr="00C83994">
        <w:trPr>
          <w:trHeight w:val="600"/>
        </w:trPr>
        <w:tc>
          <w:tcPr>
            <w:tcW w:w="1800" w:type="dxa"/>
            <w:tcBorders>
              <w:top w:val="single" w:sz="12" w:space="0" w:color="auto"/>
              <w:left w:val="single" w:sz="12" w:space="0" w:color="auto"/>
              <w:bottom w:val="single" w:sz="12" w:space="0" w:color="auto"/>
            </w:tcBorders>
            <w:vAlign w:val="center"/>
          </w:tcPr>
          <w:p w14:paraId="33090F84" w14:textId="77777777" w:rsidR="00FF3F0F" w:rsidRPr="00FF3F0F" w:rsidRDefault="00FF3F0F" w:rsidP="00FF3F0F">
            <w:pPr>
              <w:tabs>
                <w:tab w:val="left" w:pos="1110"/>
              </w:tabs>
              <w:jc w:val="center"/>
              <w:rPr>
                <w:rFonts w:cstheme="minorHAnsi"/>
                <w:b/>
              </w:rPr>
            </w:pPr>
            <w:r w:rsidRPr="00FF3F0F">
              <w:rPr>
                <w:rFonts w:cstheme="minorHAnsi"/>
                <w:b/>
              </w:rPr>
              <w:t>GPRA MEASURE #4: BEHAVIOR</w:t>
            </w:r>
          </w:p>
        </w:tc>
        <w:tc>
          <w:tcPr>
            <w:tcW w:w="3690" w:type="dxa"/>
            <w:tcBorders>
              <w:top w:val="single" w:sz="12" w:space="0" w:color="auto"/>
              <w:bottom w:val="single" w:sz="12" w:space="0" w:color="auto"/>
              <w:right w:val="single" w:sz="12" w:space="0" w:color="auto"/>
            </w:tcBorders>
          </w:tcPr>
          <w:p w14:paraId="7DA4F851" w14:textId="77777777" w:rsidR="00FF3F0F" w:rsidRPr="00FF3F0F" w:rsidRDefault="00FF3F0F" w:rsidP="00FF3F0F">
            <w:pPr>
              <w:rPr>
                <w:rFonts w:cstheme="minorHAnsi"/>
              </w:rPr>
            </w:pPr>
            <w:r w:rsidRPr="00FF3F0F">
              <w:rPr>
                <w:rFonts w:cstheme="minorHAnsi"/>
              </w:rPr>
              <w:t>Percentage of students in grades 1–12 attending 21</w:t>
            </w:r>
            <w:r w:rsidRPr="00FF3F0F">
              <w:rPr>
                <w:rFonts w:cstheme="minorHAnsi"/>
                <w:vertAlign w:val="superscript"/>
              </w:rPr>
              <w:t>st</w:t>
            </w:r>
            <w:r w:rsidRPr="00FF3F0F">
              <w:rPr>
                <w:rFonts w:cstheme="minorHAnsi"/>
              </w:rPr>
              <w:t xml:space="preserve"> CCLC programming during the school year and summer who experienced a decrease in in-</w:t>
            </w:r>
            <w:r w:rsidRPr="00FF3F0F">
              <w:rPr>
                <w:rFonts w:cstheme="minorHAnsi"/>
              </w:rPr>
              <w:lastRenderedPageBreak/>
              <w:t>school suspensions compared to the previous school year.</w:t>
            </w:r>
          </w:p>
          <w:p w14:paraId="3CD73290" w14:textId="77777777" w:rsidR="00FF3F0F" w:rsidRPr="00FF3F0F" w:rsidRDefault="00FF3F0F" w:rsidP="00FF3F0F">
            <w:pPr>
              <w:rPr>
                <w:rFonts w:cstheme="minorHAnsi"/>
              </w:rPr>
            </w:pPr>
          </w:p>
        </w:tc>
        <w:tc>
          <w:tcPr>
            <w:tcW w:w="4770" w:type="dxa"/>
            <w:tcBorders>
              <w:top w:val="single" w:sz="12" w:space="0" w:color="auto"/>
              <w:bottom w:val="single" w:sz="12" w:space="0" w:color="auto"/>
            </w:tcBorders>
          </w:tcPr>
          <w:p w14:paraId="26BB90F6" w14:textId="77777777" w:rsidR="00FF3F0F" w:rsidRPr="00FF3F0F" w:rsidRDefault="00FF3F0F" w:rsidP="00FF3F0F">
            <w:pPr>
              <w:rPr>
                <w:rFonts w:cstheme="minorHAnsi"/>
                <w:i/>
              </w:rPr>
            </w:pPr>
            <w:r w:rsidRPr="00FF3F0F">
              <w:rPr>
                <w:rFonts w:cstheme="minorHAnsi"/>
                <w:b/>
                <w:i/>
              </w:rPr>
              <w:lastRenderedPageBreak/>
              <w:t>Example:</w:t>
            </w:r>
            <w:r w:rsidRPr="00FF3F0F">
              <w:rPr>
                <w:rFonts w:cstheme="minorHAnsi"/>
                <w:i/>
              </w:rPr>
              <w:t xml:space="preserve"> </w:t>
            </w:r>
          </w:p>
          <w:p w14:paraId="04B4EE42" w14:textId="4BCAD537" w:rsidR="00FF3F0F" w:rsidRPr="00FF3F0F" w:rsidRDefault="00FF3F0F" w:rsidP="00FF3F0F">
            <w:pPr>
              <w:numPr>
                <w:ilvl w:val="0"/>
                <w:numId w:val="3"/>
              </w:numPr>
              <w:contextualSpacing/>
              <w:rPr>
                <w:rFonts w:cstheme="minorHAnsi"/>
                <w:i/>
              </w:rPr>
            </w:pPr>
            <w:r w:rsidRPr="00FF3F0F">
              <w:rPr>
                <w:rFonts w:cstheme="minorHAnsi"/>
                <w:i/>
              </w:rPr>
              <w:t xml:space="preserve">The program will review the </w:t>
            </w:r>
            <w:r w:rsidR="005318FC" w:rsidRPr="005318FC">
              <w:rPr>
                <w:rFonts w:cstheme="minorHAnsi"/>
                <w:i/>
              </w:rPr>
              <w:t>NHED</w:t>
            </w:r>
            <w:r w:rsidRPr="00FF3F0F">
              <w:rPr>
                <w:rFonts w:cstheme="minorHAnsi"/>
                <w:i/>
              </w:rPr>
              <w:t xml:space="preserve"> i4see report of 202</w:t>
            </w:r>
            <w:r w:rsidR="00D41FB3">
              <w:rPr>
                <w:rFonts w:cstheme="minorHAnsi"/>
                <w:i/>
              </w:rPr>
              <w:t>2</w:t>
            </w:r>
            <w:r w:rsidRPr="00FF3F0F">
              <w:rPr>
                <w:rFonts w:cstheme="minorHAnsi"/>
                <w:i/>
              </w:rPr>
              <w:t>-2</w:t>
            </w:r>
            <w:r w:rsidR="00D41FB3">
              <w:rPr>
                <w:rFonts w:cstheme="minorHAnsi"/>
                <w:i/>
              </w:rPr>
              <w:t>3</w:t>
            </w:r>
            <w:r w:rsidRPr="00FF3F0F">
              <w:rPr>
                <w:rFonts w:cstheme="minorHAnsi"/>
                <w:i/>
              </w:rPr>
              <w:t xml:space="preserve"> suspension for all our 202</w:t>
            </w:r>
            <w:r w:rsidR="00D41FB3">
              <w:rPr>
                <w:rFonts w:cstheme="minorHAnsi"/>
                <w:i/>
              </w:rPr>
              <w:t>3</w:t>
            </w:r>
            <w:r w:rsidRPr="00FF3F0F">
              <w:rPr>
                <w:rFonts w:cstheme="minorHAnsi"/>
                <w:i/>
              </w:rPr>
              <w:t>-2</w:t>
            </w:r>
            <w:r w:rsidR="00D41FB3">
              <w:rPr>
                <w:rFonts w:cstheme="minorHAnsi"/>
                <w:i/>
              </w:rPr>
              <w:t>4</w:t>
            </w:r>
            <w:r w:rsidRPr="00FF3F0F">
              <w:rPr>
                <w:rFonts w:cstheme="minorHAnsi"/>
                <w:i/>
              </w:rPr>
              <w:t xml:space="preserve"> participants.</w:t>
            </w:r>
          </w:p>
          <w:p w14:paraId="2C2518FE" w14:textId="3FD40D8C" w:rsidR="00FF3F0F" w:rsidRPr="00FF3F0F" w:rsidRDefault="00FF3F0F" w:rsidP="00FF3F0F">
            <w:pPr>
              <w:numPr>
                <w:ilvl w:val="0"/>
                <w:numId w:val="3"/>
              </w:numPr>
              <w:contextualSpacing/>
              <w:rPr>
                <w:rFonts w:cstheme="minorHAnsi"/>
                <w:i/>
              </w:rPr>
            </w:pPr>
            <w:r w:rsidRPr="00FF3F0F">
              <w:rPr>
                <w:rFonts w:cstheme="minorHAnsi"/>
                <w:i/>
              </w:rPr>
              <w:lastRenderedPageBreak/>
              <w:t>The program will identify students with 10 or more days of suspension in 202</w:t>
            </w:r>
            <w:r w:rsidR="00D41FB3">
              <w:rPr>
                <w:rFonts w:cstheme="minorHAnsi"/>
                <w:i/>
              </w:rPr>
              <w:t>2</w:t>
            </w:r>
            <w:r w:rsidRPr="00FF3F0F">
              <w:rPr>
                <w:rFonts w:cstheme="minorHAnsi"/>
                <w:i/>
              </w:rPr>
              <w:t>-2</w:t>
            </w:r>
            <w:r w:rsidR="00D41FB3">
              <w:rPr>
                <w:rFonts w:cstheme="minorHAnsi"/>
                <w:i/>
              </w:rPr>
              <w:t>3</w:t>
            </w:r>
            <w:r w:rsidRPr="00FF3F0F">
              <w:rPr>
                <w:rFonts w:cstheme="minorHAnsi"/>
                <w:i/>
              </w:rPr>
              <w:t>.</w:t>
            </w:r>
          </w:p>
          <w:p w14:paraId="263C98E6" w14:textId="77777777" w:rsidR="00FF3F0F" w:rsidRPr="00FF3F0F" w:rsidRDefault="00FF3F0F" w:rsidP="00FF3F0F">
            <w:pPr>
              <w:numPr>
                <w:ilvl w:val="0"/>
                <w:numId w:val="3"/>
              </w:numPr>
              <w:contextualSpacing/>
              <w:rPr>
                <w:rFonts w:cstheme="minorHAnsi"/>
                <w:i/>
              </w:rPr>
            </w:pPr>
            <w:r w:rsidRPr="00FF3F0F">
              <w:rPr>
                <w:rFonts w:cstheme="minorHAnsi"/>
                <w:i/>
              </w:rPr>
              <w:t>The program will target these students.</w:t>
            </w:r>
          </w:p>
          <w:p w14:paraId="7DC2741C" w14:textId="77777777" w:rsidR="00FF3F0F" w:rsidRPr="00FF3F0F" w:rsidRDefault="00FF3F0F" w:rsidP="00FF3F0F">
            <w:pPr>
              <w:numPr>
                <w:ilvl w:val="0"/>
                <w:numId w:val="3"/>
              </w:numPr>
              <w:contextualSpacing/>
              <w:rPr>
                <w:rFonts w:cstheme="minorHAnsi"/>
                <w:i/>
              </w:rPr>
            </w:pPr>
            <w:r w:rsidRPr="00FF3F0F">
              <w:rPr>
                <w:rFonts w:cstheme="minorHAnsi"/>
                <w:i/>
              </w:rPr>
              <w:t>The program will contact parents/students to determine what obstacles they are facing. Provide programming opportunities, including partner engagement, to engage them and monitor their daily behavior during the school day and after school.</w:t>
            </w:r>
          </w:p>
        </w:tc>
        <w:tc>
          <w:tcPr>
            <w:tcW w:w="4860" w:type="dxa"/>
            <w:tcBorders>
              <w:top w:val="single" w:sz="12" w:space="0" w:color="auto"/>
              <w:bottom w:val="single" w:sz="12" w:space="0" w:color="auto"/>
              <w:right w:val="single" w:sz="12" w:space="0" w:color="auto"/>
            </w:tcBorders>
          </w:tcPr>
          <w:p w14:paraId="27ED5E18" w14:textId="386E7645" w:rsidR="00FF3F0F" w:rsidRPr="00FF3F0F" w:rsidRDefault="00FF3F0F" w:rsidP="00FF3F0F">
            <w:pPr>
              <w:numPr>
                <w:ilvl w:val="0"/>
                <w:numId w:val="3"/>
              </w:numPr>
              <w:contextualSpacing/>
              <w:rPr>
                <w:rFonts w:cstheme="minorHAnsi"/>
                <w:i/>
              </w:rPr>
            </w:pPr>
            <w:r w:rsidRPr="00FF3F0F">
              <w:rPr>
                <w:rFonts w:cstheme="minorHAnsi"/>
                <w:i/>
              </w:rPr>
              <w:lastRenderedPageBreak/>
              <w:t xml:space="preserve">For all students in grades 1-12, the </w:t>
            </w:r>
            <w:r w:rsidR="005318FC" w:rsidRPr="005318FC">
              <w:rPr>
                <w:rFonts w:cstheme="minorHAnsi"/>
                <w:i/>
              </w:rPr>
              <w:t>NHED</w:t>
            </w:r>
            <w:r w:rsidRPr="00FF3F0F">
              <w:rPr>
                <w:rFonts w:cstheme="minorHAnsi"/>
                <w:i/>
              </w:rPr>
              <w:t xml:space="preserve"> will use the state suspension report to identify student suspension. </w:t>
            </w:r>
          </w:p>
          <w:p w14:paraId="583F8560" w14:textId="2F99904C" w:rsidR="00FF3F0F" w:rsidRPr="00FF3F0F" w:rsidRDefault="00FF3F0F" w:rsidP="00FF3F0F">
            <w:pPr>
              <w:ind w:left="360"/>
              <w:rPr>
                <w:rFonts w:cstheme="minorHAnsi"/>
                <w:i/>
              </w:rPr>
            </w:pPr>
            <w:r w:rsidRPr="00FF3F0F">
              <w:rPr>
                <w:rFonts w:cstheme="minorHAnsi"/>
                <w:i/>
              </w:rPr>
              <w:lastRenderedPageBreak/>
              <w:t xml:space="preserve">Note: The </w:t>
            </w:r>
            <w:r w:rsidR="005318FC" w:rsidRPr="005318FC">
              <w:rPr>
                <w:rFonts w:cstheme="minorHAnsi"/>
                <w:i/>
              </w:rPr>
              <w:t>NHED</w:t>
            </w:r>
            <w:r w:rsidRPr="00FF3F0F">
              <w:rPr>
                <w:rFonts w:cstheme="minorHAnsi"/>
                <w:i/>
              </w:rPr>
              <w:t xml:space="preserve"> will only include students who have data in the state system for two years – required to show change in suspension for a student.</w:t>
            </w:r>
          </w:p>
          <w:p w14:paraId="17EC98BB" w14:textId="111B8FB6" w:rsidR="00FF3F0F" w:rsidRPr="00FF3F0F" w:rsidRDefault="00FF3F0F" w:rsidP="00FF3F0F">
            <w:pPr>
              <w:numPr>
                <w:ilvl w:val="0"/>
                <w:numId w:val="3"/>
              </w:numPr>
              <w:contextualSpacing/>
              <w:rPr>
                <w:rFonts w:cstheme="minorHAnsi"/>
                <w:i/>
              </w:rPr>
            </w:pPr>
            <w:r w:rsidRPr="00FF3F0F">
              <w:rPr>
                <w:rFonts w:cstheme="minorHAnsi"/>
                <w:i/>
              </w:rPr>
              <w:t xml:space="preserve">The </w:t>
            </w:r>
            <w:r w:rsidR="005318FC" w:rsidRPr="005318FC">
              <w:rPr>
                <w:rFonts w:cstheme="minorHAnsi"/>
                <w:i/>
              </w:rPr>
              <w:t>NHED</w:t>
            </w:r>
            <w:r w:rsidRPr="00FF3F0F">
              <w:rPr>
                <w:rFonts w:cstheme="minorHAnsi"/>
                <w:i/>
              </w:rPr>
              <w:t xml:space="preserve"> expects to see a reduction of at least 20% of students who were suspended m</w:t>
            </w:r>
            <w:r w:rsidR="00240424">
              <w:rPr>
                <w:rFonts w:cstheme="minorHAnsi"/>
                <w:i/>
              </w:rPr>
              <w:t>ore than 5 days in 202</w:t>
            </w:r>
            <w:r w:rsidR="00D41FB3">
              <w:rPr>
                <w:rFonts w:cstheme="minorHAnsi"/>
                <w:i/>
              </w:rPr>
              <w:t>2</w:t>
            </w:r>
            <w:r w:rsidR="00240424">
              <w:rPr>
                <w:rFonts w:cstheme="minorHAnsi"/>
                <w:i/>
              </w:rPr>
              <w:t>-2</w:t>
            </w:r>
            <w:r w:rsidR="00D41FB3">
              <w:rPr>
                <w:rFonts w:cstheme="minorHAnsi"/>
                <w:i/>
              </w:rPr>
              <w:t>3</w:t>
            </w:r>
            <w:r w:rsidR="00240424">
              <w:rPr>
                <w:rFonts w:cstheme="minorHAnsi"/>
                <w:i/>
              </w:rPr>
              <w:t>. F</w:t>
            </w:r>
            <w:r w:rsidRPr="00FF3F0F">
              <w:rPr>
                <w:rFonts w:cstheme="minorHAnsi"/>
                <w:i/>
              </w:rPr>
              <w:t xml:space="preserve">or example, if 10 students had 5 or more days </w:t>
            </w:r>
            <w:r w:rsidR="00240424">
              <w:rPr>
                <w:rFonts w:cstheme="minorHAnsi"/>
                <w:i/>
              </w:rPr>
              <w:t>of suspension in 202</w:t>
            </w:r>
            <w:r w:rsidR="00D41FB3">
              <w:rPr>
                <w:rFonts w:cstheme="minorHAnsi"/>
                <w:i/>
              </w:rPr>
              <w:t>2</w:t>
            </w:r>
            <w:r w:rsidR="00240424">
              <w:rPr>
                <w:rFonts w:cstheme="minorHAnsi"/>
                <w:i/>
              </w:rPr>
              <w:t>-2</w:t>
            </w:r>
            <w:r w:rsidR="00D41FB3">
              <w:rPr>
                <w:rFonts w:cstheme="minorHAnsi"/>
                <w:i/>
              </w:rPr>
              <w:t>3</w:t>
            </w:r>
            <w:r w:rsidR="00240424">
              <w:rPr>
                <w:rFonts w:cstheme="minorHAnsi"/>
                <w:i/>
              </w:rPr>
              <w:t xml:space="preserve"> then the </w:t>
            </w:r>
            <w:r w:rsidR="005318FC" w:rsidRPr="005318FC">
              <w:rPr>
                <w:rFonts w:cstheme="minorHAnsi"/>
                <w:i/>
              </w:rPr>
              <w:t>NHED</w:t>
            </w:r>
            <w:r w:rsidRPr="00FF3F0F">
              <w:rPr>
                <w:rFonts w:cstheme="minorHAnsi"/>
                <w:i/>
              </w:rPr>
              <w:t xml:space="preserve"> expect</w:t>
            </w:r>
            <w:r w:rsidR="00240424">
              <w:rPr>
                <w:rFonts w:cstheme="minorHAnsi"/>
                <w:i/>
              </w:rPr>
              <w:t>s</w:t>
            </w:r>
            <w:r w:rsidRPr="00FF3F0F">
              <w:rPr>
                <w:rFonts w:cstheme="minorHAnsi"/>
                <w:i/>
              </w:rPr>
              <w:t xml:space="preserve"> at least 2 of those students to have less suspension days in 202</w:t>
            </w:r>
            <w:r w:rsidR="00D41FB3">
              <w:rPr>
                <w:rFonts w:cstheme="minorHAnsi"/>
                <w:i/>
              </w:rPr>
              <w:t>3</w:t>
            </w:r>
            <w:r w:rsidRPr="00FF3F0F">
              <w:rPr>
                <w:rFonts w:cstheme="minorHAnsi"/>
                <w:i/>
              </w:rPr>
              <w:t>-2</w:t>
            </w:r>
            <w:r w:rsidR="00D41FB3">
              <w:rPr>
                <w:rFonts w:cstheme="minorHAnsi"/>
                <w:i/>
              </w:rPr>
              <w:t>4</w:t>
            </w:r>
            <w:r w:rsidRPr="00FF3F0F">
              <w:rPr>
                <w:rFonts w:cstheme="minorHAnsi"/>
                <w:i/>
              </w:rPr>
              <w:t>.</w:t>
            </w:r>
          </w:p>
          <w:p w14:paraId="6AAC0424" w14:textId="77777777" w:rsidR="00FF3F0F" w:rsidRPr="00FF3F0F" w:rsidRDefault="00FF3F0F" w:rsidP="00FF3F0F">
            <w:pPr>
              <w:numPr>
                <w:ilvl w:val="0"/>
                <w:numId w:val="3"/>
              </w:numPr>
              <w:contextualSpacing/>
              <w:rPr>
                <w:rFonts w:cstheme="minorHAnsi"/>
                <w:i/>
              </w:rPr>
            </w:pPr>
            <w:r w:rsidRPr="00FF3F0F">
              <w:rPr>
                <w:rFonts w:cstheme="minorHAnsi"/>
                <w:iCs/>
              </w:rPr>
              <w:t>Schools who have no students being suspended, will be expected to continue with that performance level.</w:t>
            </w:r>
          </w:p>
        </w:tc>
      </w:tr>
      <w:tr w:rsidR="00FF3F0F" w:rsidRPr="00FF3F0F" w14:paraId="3DD145BC" w14:textId="77777777" w:rsidTr="00C83994">
        <w:trPr>
          <w:trHeight w:val="1320"/>
        </w:trPr>
        <w:tc>
          <w:tcPr>
            <w:tcW w:w="1800" w:type="dxa"/>
            <w:tcBorders>
              <w:top w:val="single" w:sz="12" w:space="0" w:color="auto"/>
              <w:left w:val="single" w:sz="12" w:space="0" w:color="auto"/>
              <w:bottom w:val="single" w:sz="12" w:space="0" w:color="auto"/>
            </w:tcBorders>
            <w:vAlign w:val="center"/>
          </w:tcPr>
          <w:p w14:paraId="632A05FB" w14:textId="77777777" w:rsidR="00FF3F0F" w:rsidRPr="00FF3F0F" w:rsidRDefault="00FF3F0F" w:rsidP="00FF3F0F">
            <w:pPr>
              <w:jc w:val="center"/>
              <w:rPr>
                <w:rFonts w:cstheme="minorHAnsi"/>
                <w:b/>
              </w:rPr>
            </w:pPr>
            <w:r w:rsidRPr="00FF3F0F">
              <w:rPr>
                <w:rFonts w:cstheme="minorHAnsi"/>
                <w:b/>
              </w:rPr>
              <w:lastRenderedPageBreak/>
              <w:t>GPRA MEASURE #5: STUDENT ENGAGEMENT IN LEARNING</w:t>
            </w:r>
          </w:p>
        </w:tc>
        <w:tc>
          <w:tcPr>
            <w:tcW w:w="3690" w:type="dxa"/>
            <w:tcBorders>
              <w:top w:val="single" w:sz="12" w:space="0" w:color="auto"/>
              <w:bottom w:val="single" w:sz="12" w:space="0" w:color="auto"/>
              <w:right w:val="single" w:sz="12" w:space="0" w:color="auto"/>
            </w:tcBorders>
          </w:tcPr>
          <w:p w14:paraId="5E344D57" w14:textId="77777777" w:rsidR="00FF3F0F" w:rsidRPr="00FF3F0F" w:rsidRDefault="00FF3F0F" w:rsidP="00FF3F0F">
            <w:pPr>
              <w:rPr>
                <w:rFonts w:cstheme="minorHAnsi"/>
              </w:rPr>
            </w:pPr>
            <w:r w:rsidRPr="00FF3F0F">
              <w:rPr>
                <w:rFonts w:cstheme="minorHAnsi"/>
              </w:rPr>
              <w:t>Percentage of students in grades 1–5 participating in 21</w:t>
            </w:r>
            <w:r w:rsidRPr="00FF3F0F">
              <w:rPr>
                <w:rFonts w:cstheme="minorHAnsi"/>
                <w:vertAlign w:val="superscript"/>
              </w:rPr>
              <w:t>st</w:t>
            </w:r>
            <w:r w:rsidRPr="00FF3F0F">
              <w:rPr>
                <w:rFonts w:cstheme="minorHAnsi"/>
              </w:rPr>
              <w:t xml:space="preserve"> CCLC programming in the school year and summer who demonstrated an improvement in teacher-reported engagement in learning.</w:t>
            </w:r>
          </w:p>
          <w:p w14:paraId="1787F6AC" w14:textId="77777777" w:rsidR="00FF3F0F" w:rsidRPr="00FF3F0F" w:rsidRDefault="00FF3F0F" w:rsidP="00FF3F0F">
            <w:pPr>
              <w:rPr>
                <w:rFonts w:cstheme="minorHAnsi"/>
              </w:rPr>
            </w:pPr>
          </w:p>
        </w:tc>
        <w:tc>
          <w:tcPr>
            <w:tcW w:w="4770" w:type="dxa"/>
            <w:tcBorders>
              <w:top w:val="single" w:sz="12" w:space="0" w:color="auto"/>
              <w:bottom w:val="single" w:sz="12" w:space="0" w:color="auto"/>
            </w:tcBorders>
          </w:tcPr>
          <w:p w14:paraId="560EE5D2" w14:textId="77777777" w:rsidR="00FF3F0F" w:rsidRPr="00FF3F0F" w:rsidRDefault="00FF3F0F" w:rsidP="00FF3F0F">
            <w:pPr>
              <w:rPr>
                <w:rFonts w:cstheme="minorHAnsi"/>
                <w:i/>
              </w:rPr>
            </w:pPr>
            <w:r w:rsidRPr="00FF3F0F">
              <w:rPr>
                <w:rFonts w:cstheme="minorHAnsi"/>
                <w:b/>
                <w:i/>
              </w:rPr>
              <w:t>Example:</w:t>
            </w:r>
            <w:r w:rsidRPr="00FF3F0F">
              <w:rPr>
                <w:rFonts w:cstheme="minorHAnsi"/>
                <w:i/>
              </w:rPr>
              <w:t xml:space="preserve"> </w:t>
            </w:r>
          </w:p>
          <w:p w14:paraId="1493921E" w14:textId="77777777" w:rsidR="00FF3F0F" w:rsidRPr="00FF3F0F" w:rsidRDefault="00FF3F0F" w:rsidP="00FF3F0F">
            <w:pPr>
              <w:numPr>
                <w:ilvl w:val="0"/>
                <w:numId w:val="3"/>
              </w:numPr>
              <w:contextualSpacing/>
              <w:rPr>
                <w:rFonts w:cstheme="minorHAnsi"/>
                <w:i/>
              </w:rPr>
            </w:pPr>
            <w:r w:rsidRPr="00FF3F0F">
              <w:rPr>
                <w:rFonts w:cstheme="minorHAnsi"/>
                <w:i/>
              </w:rPr>
              <w:t>The program will reach out to each student’s primary teacher for ELA and/or Math, monthly to identify monthly academic learning targets for the student – this can vary from specific math/ELA lessons to executive functioning skills.</w:t>
            </w:r>
          </w:p>
          <w:p w14:paraId="7C5940CB" w14:textId="77777777" w:rsidR="00FF3F0F" w:rsidRPr="00FF3F0F" w:rsidRDefault="00FF3F0F" w:rsidP="00FF3F0F">
            <w:pPr>
              <w:numPr>
                <w:ilvl w:val="0"/>
                <w:numId w:val="3"/>
              </w:numPr>
              <w:contextualSpacing/>
              <w:rPr>
                <w:rFonts w:cstheme="minorHAnsi"/>
                <w:i/>
              </w:rPr>
            </w:pPr>
            <w:r w:rsidRPr="00FF3F0F">
              <w:rPr>
                <w:rFonts w:cstheme="minorHAnsi"/>
                <w:i/>
              </w:rPr>
              <w:t>The program will use the [student information system] to house these learning plans.</w:t>
            </w:r>
          </w:p>
        </w:tc>
        <w:tc>
          <w:tcPr>
            <w:tcW w:w="4860" w:type="dxa"/>
            <w:tcBorders>
              <w:top w:val="single" w:sz="12" w:space="0" w:color="auto"/>
              <w:bottom w:val="single" w:sz="12" w:space="0" w:color="auto"/>
              <w:right w:val="single" w:sz="12" w:space="0" w:color="auto"/>
            </w:tcBorders>
          </w:tcPr>
          <w:p w14:paraId="071798EC" w14:textId="7D44D5B6" w:rsidR="00FF3F0F" w:rsidRPr="00FF3F0F" w:rsidRDefault="00FF3F0F" w:rsidP="00FF3F0F">
            <w:pPr>
              <w:numPr>
                <w:ilvl w:val="0"/>
                <w:numId w:val="3"/>
              </w:numPr>
              <w:contextualSpacing/>
              <w:rPr>
                <w:rFonts w:cstheme="minorHAnsi"/>
                <w:i/>
              </w:rPr>
            </w:pPr>
            <w:r w:rsidRPr="00FF3F0F">
              <w:rPr>
                <w:rFonts w:cstheme="minorHAnsi"/>
                <w:i/>
              </w:rPr>
              <w:t>For students in</w:t>
            </w:r>
            <w:r w:rsidR="00240424">
              <w:rPr>
                <w:rFonts w:cstheme="minorHAnsi"/>
                <w:i/>
              </w:rPr>
              <w:t xml:space="preserve"> grades</w:t>
            </w:r>
            <w:r w:rsidRPr="00FF3F0F">
              <w:rPr>
                <w:rFonts w:cstheme="minorHAnsi"/>
                <w:i/>
              </w:rPr>
              <w:t xml:space="preserve"> 1-5.</w:t>
            </w:r>
            <w:r w:rsidRPr="00FF3F0F">
              <w:rPr>
                <w:rFonts w:cstheme="minorHAnsi"/>
                <w:i/>
              </w:rPr>
              <w:br/>
              <w:t xml:space="preserve">The </w:t>
            </w:r>
            <w:r w:rsidR="005318FC" w:rsidRPr="005318FC">
              <w:rPr>
                <w:rFonts w:cstheme="minorHAnsi"/>
                <w:i/>
              </w:rPr>
              <w:t>NHED</w:t>
            </w:r>
            <w:r w:rsidRPr="00FF3F0F">
              <w:rPr>
                <w:rFonts w:cstheme="minorHAnsi"/>
                <w:i/>
              </w:rPr>
              <w:t xml:space="preserve"> will use the state survey to have the primary teacher for each student in grades 1-5, identify each student’s engagement in learning as ‘significant engagement, ’moderate engagement, ‘limited engagement’, ‘poor engagement’.</w:t>
            </w:r>
          </w:p>
          <w:p w14:paraId="2F523BE0" w14:textId="488F0E88" w:rsidR="00FF3F0F" w:rsidRPr="00FF3F0F" w:rsidRDefault="00FF3F0F" w:rsidP="00FF3F0F">
            <w:pPr>
              <w:numPr>
                <w:ilvl w:val="0"/>
                <w:numId w:val="3"/>
              </w:numPr>
              <w:contextualSpacing/>
              <w:rPr>
                <w:rFonts w:cstheme="minorHAnsi"/>
                <w:i/>
              </w:rPr>
            </w:pPr>
            <w:r w:rsidRPr="00FF3F0F">
              <w:rPr>
                <w:rFonts w:cstheme="minorHAnsi"/>
                <w:i/>
              </w:rPr>
              <w:t xml:space="preserve">The </w:t>
            </w:r>
            <w:r w:rsidR="005318FC" w:rsidRPr="005318FC">
              <w:rPr>
                <w:rFonts w:cstheme="minorHAnsi"/>
                <w:i/>
              </w:rPr>
              <w:t>NHED</w:t>
            </w:r>
            <w:r w:rsidRPr="00FF3F0F">
              <w:rPr>
                <w:rFonts w:cstheme="minorHAnsi"/>
                <w:i/>
              </w:rPr>
              <w:t xml:space="preserve"> will expect at least 60% to have achieved at least moderate engagement.</w:t>
            </w:r>
          </w:p>
          <w:p w14:paraId="00CFC550" w14:textId="77777777" w:rsidR="00FF3F0F" w:rsidRPr="00FF3F0F" w:rsidRDefault="00FF3F0F" w:rsidP="00FF3F0F">
            <w:pPr>
              <w:ind w:left="360"/>
              <w:rPr>
                <w:rFonts w:cstheme="minorHAnsi"/>
                <w:i/>
              </w:rPr>
            </w:pPr>
            <w:r w:rsidRPr="00FF3F0F">
              <w:rPr>
                <w:rFonts w:cstheme="minorHAnsi"/>
                <w:i/>
              </w:rPr>
              <w:t xml:space="preserve">Note: a rubric will be developed to help clarify the levels of engagement, to improve the validity of this measure. </w:t>
            </w:r>
          </w:p>
        </w:tc>
      </w:tr>
      <w:tr w:rsidR="00FF3F0F" w:rsidRPr="00FF3F0F" w14:paraId="28FD8B8C" w14:textId="77777777" w:rsidTr="00C83994">
        <w:trPr>
          <w:trHeight w:val="807"/>
        </w:trPr>
        <w:tc>
          <w:tcPr>
            <w:tcW w:w="1800" w:type="dxa"/>
            <w:tcBorders>
              <w:top w:val="single" w:sz="12" w:space="0" w:color="auto"/>
              <w:left w:val="single" w:sz="12" w:space="0" w:color="auto"/>
              <w:bottom w:val="single" w:sz="12" w:space="0" w:color="auto"/>
            </w:tcBorders>
            <w:vAlign w:val="center"/>
          </w:tcPr>
          <w:p w14:paraId="206D1591" w14:textId="77777777" w:rsidR="00FF3F0F" w:rsidRPr="00FF3F0F" w:rsidRDefault="00FF3F0F" w:rsidP="00FF3F0F">
            <w:pPr>
              <w:jc w:val="center"/>
              <w:rPr>
                <w:rFonts w:cstheme="minorHAnsi"/>
                <w:b/>
              </w:rPr>
            </w:pPr>
            <w:r w:rsidRPr="00FF3F0F">
              <w:rPr>
                <w:rFonts w:cstheme="minorHAnsi"/>
                <w:b/>
              </w:rPr>
              <w:t>Other Measures</w:t>
            </w:r>
          </w:p>
        </w:tc>
        <w:tc>
          <w:tcPr>
            <w:tcW w:w="3690" w:type="dxa"/>
            <w:tcBorders>
              <w:top w:val="single" w:sz="12" w:space="0" w:color="auto"/>
              <w:bottom w:val="single" w:sz="12" w:space="0" w:color="auto"/>
              <w:right w:val="single" w:sz="12" w:space="0" w:color="auto"/>
            </w:tcBorders>
          </w:tcPr>
          <w:p w14:paraId="13E11992" w14:textId="77777777" w:rsidR="00FF3F0F" w:rsidRPr="00FF3F0F" w:rsidRDefault="00FF3F0F" w:rsidP="00FF3F0F">
            <w:pPr>
              <w:rPr>
                <w:rFonts w:cstheme="minorHAnsi"/>
              </w:rPr>
            </w:pPr>
            <w:r w:rsidRPr="00FF3F0F">
              <w:rPr>
                <w:rFonts w:cstheme="minorHAnsi"/>
              </w:rPr>
              <w:t>[include other local measures you plan to track]</w:t>
            </w:r>
          </w:p>
        </w:tc>
        <w:tc>
          <w:tcPr>
            <w:tcW w:w="4770" w:type="dxa"/>
            <w:tcBorders>
              <w:top w:val="single" w:sz="12" w:space="0" w:color="auto"/>
              <w:bottom w:val="single" w:sz="12" w:space="0" w:color="auto"/>
            </w:tcBorders>
          </w:tcPr>
          <w:p w14:paraId="3D9EAADD" w14:textId="77777777" w:rsidR="00FF3F0F" w:rsidRPr="00FF3F0F" w:rsidRDefault="00FF3F0F" w:rsidP="00FF3F0F">
            <w:pPr>
              <w:rPr>
                <w:rFonts w:cstheme="minorHAnsi"/>
                <w:b/>
                <w:i/>
              </w:rPr>
            </w:pPr>
          </w:p>
        </w:tc>
        <w:tc>
          <w:tcPr>
            <w:tcW w:w="4860" w:type="dxa"/>
            <w:tcBorders>
              <w:top w:val="single" w:sz="12" w:space="0" w:color="auto"/>
              <w:bottom w:val="single" w:sz="12" w:space="0" w:color="auto"/>
              <w:right w:val="single" w:sz="12" w:space="0" w:color="auto"/>
            </w:tcBorders>
          </w:tcPr>
          <w:p w14:paraId="0B0DBC4D" w14:textId="77777777" w:rsidR="00FF3F0F" w:rsidRPr="00FF3F0F" w:rsidRDefault="00FF3F0F" w:rsidP="00FF3F0F">
            <w:pPr>
              <w:rPr>
                <w:rFonts w:cstheme="minorHAnsi"/>
                <w:b/>
                <w:bCs/>
                <w:i/>
              </w:rPr>
            </w:pPr>
          </w:p>
        </w:tc>
      </w:tr>
    </w:tbl>
    <w:p w14:paraId="21DF4ED5" w14:textId="77777777" w:rsidR="00FF3F0F" w:rsidRPr="00FF3F0F" w:rsidRDefault="00FF3F0F" w:rsidP="00FF3F0F"/>
    <w:p w14:paraId="0EDFF41C" w14:textId="77777777" w:rsidR="00FF3F0F" w:rsidRDefault="00FF3F0F" w:rsidP="00F92EBC">
      <w:pPr>
        <w:rPr>
          <w:rFonts w:ascii="Times New Roman" w:hAnsi="Times New Roman" w:cs="Times New Roman"/>
          <w:b/>
          <w:sz w:val="32"/>
          <w:szCs w:val="32"/>
        </w:rPr>
      </w:pPr>
    </w:p>
    <w:sectPr w:rsidR="00FF3F0F" w:rsidSect="004D73F9">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00E655" w14:textId="77777777" w:rsidR="006637E9" w:rsidRDefault="006637E9" w:rsidP="005318FC">
      <w:pPr>
        <w:spacing w:after="0" w:line="240" w:lineRule="auto"/>
      </w:pPr>
      <w:r>
        <w:separator/>
      </w:r>
    </w:p>
  </w:endnote>
  <w:endnote w:type="continuationSeparator" w:id="0">
    <w:p w14:paraId="5532B274" w14:textId="77777777" w:rsidR="006637E9" w:rsidRDefault="006637E9" w:rsidP="005318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B1B28" w14:textId="406D6977" w:rsidR="005318FC" w:rsidRDefault="005318FC">
    <w:pPr>
      <w:pStyle w:val="Footer"/>
    </w:pPr>
    <w:r>
      <w:tab/>
    </w:r>
    <w:r>
      <w:tab/>
    </w:r>
    <w:r>
      <w:tab/>
    </w:r>
    <w:r>
      <w:tab/>
    </w:r>
    <w:r>
      <w:tab/>
    </w:r>
    <w:r>
      <w:tab/>
      <w:t>Revised 12/14/2022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E413CE" w14:textId="77777777" w:rsidR="006637E9" w:rsidRDefault="006637E9" w:rsidP="005318FC">
      <w:pPr>
        <w:spacing w:after="0" w:line="240" w:lineRule="auto"/>
      </w:pPr>
      <w:r>
        <w:separator/>
      </w:r>
    </w:p>
  </w:footnote>
  <w:footnote w:type="continuationSeparator" w:id="0">
    <w:p w14:paraId="665F3BF9" w14:textId="77777777" w:rsidR="006637E9" w:rsidRDefault="006637E9" w:rsidP="005318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0C59" w14:textId="77777777" w:rsidR="00CF0A52" w:rsidRPr="006977DF" w:rsidRDefault="00CF0A52" w:rsidP="00CF0A52">
    <w:pPr>
      <w:rPr>
        <w:rFonts w:cstheme="minorHAnsi"/>
        <w:sz w:val="32"/>
        <w:szCs w:val="32"/>
      </w:rPr>
    </w:pPr>
    <w:r w:rsidRPr="006977DF">
      <w:rPr>
        <w:rFonts w:cstheme="minorHAnsi"/>
        <w:b/>
        <w:sz w:val="32"/>
        <w:szCs w:val="32"/>
      </w:rPr>
      <w:t xml:space="preserve">APPENDIX E: </w:t>
    </w:r>
    <w:r w:rsidRPr="006977DF">
      <w:rPr>
        <w:rFonts w:cstheme="minorHAnsi"/>
        <w:sz w:val="32"/>
        <w:szCs w:val="32"/>
      </w:rPr>
      <w:t>GPRA Measures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C75BD8"/>
    <w:multiLevelType w:val="hybridMultilevel"/>
    <w:tmpl w:val="53928D06"/>
    <w:lvl w:ilvl="0" w:tplc="2CEEFDA8">
      <w:start w:val="1"/>
      <w:numFmt w:val="lowerLetter"/>
      <w:lvlText w:val="(%1)"/>
      <w:lvlJc w:val="left"/>
      <w:pPr>
        <w:ind w:left="720" w:hanging="360"/>
      </w:pPr>
      <w:rPr>
        <w:rFonts w:ascii="Arial" w:eastAsia="Arial" w:hAnsi="Arial" w:cs="Arial" w:hint="default"/>
        <w:b w:val="0"/>
        <w:i w:val="0"/>
        <w:strike w:val="0"/>
        <w:dstrike w:val="0"/>
        <w:color w:val="000000"/>
        <w:sz w:val="22"/>
        <w:szCs w:val="22"/>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61D0184"/>
    <w:multiLevelType w:val="hybridMultilevel"/>
    <w:tmpl w:val="13E216F0"/>
    <w:lvl w:ilvl="0" w:tplc="3108893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37C11F6"/>
    <w:multiLevelType w:val="hybridMultilevel"/>
    <w:tmpl w:val="6352B1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05400893">
    <w:abstractNumId w:val="2"/>
  </w:num>
  <w:num w:numId="2" w16cid:durableId="810294603">
    <w:abstractNumId w:val="0"/>
  </w:num>
  <w:num w:numId="3" w16cid:durableId="7777216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D67"/>
    <w:rsid w:val="000920DE"/>
    <w:rsid w:val="00114EDE"/>
    <w:rsid w:val="00126383"/>
    <w:rsid w:val="0019148C"/>
    <w:rsid w:val="00193341"/>
    <w:rsid w:val="001B242A"/>
    <w:rsid w:val="001C21A6"/>
    <w:rsid w:val="001D3156"/>
    <w:rsid w:val="001D536A"/>
    <w:rsid w:val="00240424"/>
    <w:rsid w:val="003B49EA"/>
    <w:rsid w:val="003C4AD3"/>
    <w:rsid w:val="003F3B91"/>
    <w:rsid w:val="004D73F9"/>
    <w:rsid w:val="005318FC"/>
    <w:rsid w:val="005D03FA"/>
    <w:rsid w:val="006637E9"/>
    <w:rsid w:val="006760FC"/>
    <w:rsid w:val="00685A82"/>
    <w:rsid w:val="006977DF"/>
    <w:rsid w:val="0085465A"/>
    <w:rsid w:val="008922F5"/>
    <w:rsid w:val="008D28F0"/>
    <w:rsid w:val="008D757D"/>
    <w:rsid w:val="009317E5"/>
    <w:rsid w:val="009E0B9C"/>
    <w:rsid w:val="00A61B4E"/>
    <w:rsid w:val="00C91D67"/>
    <w:rsid w:val="00CB12A3"/>
    <w:rsid w:val="00CC47B9"/>
    <w:rsid w:val="00CF0A52"/>
    <w:rsid w:val="00D216F0"/>
    <w:rsid w:val="00D41FB3"/>
    <w:rsid w:val="00D90871"/>
    <w:rsid w:val="00E70310"/>
    <w:rsid w:val="00E86FE3"/>
    <w:rsid w:val="00F6153D"/>
    <w:rsid w:val="00F92EBC"/>
    <w:rsid w:val="00FA21DF"/>
    <w:rsid w:val="00FF3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DF1AE"/>
  <w15:chartTrackingRefBased/>
  <w15:docId w15:val="{B2365E8A-28C6-4497-B17B-C68C211BC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1D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1D67"/>
    <w:pPr>
      <w:ind w:left="720"/>
      <w:contextualSpacing/>
    </w:pPr>
  </w:style>
  <w:style w:type="table" w:customStyle="1" w:styleId="TableGrid1">
    <w:name w:val="Table Grid1"/>
    <w:basedOn w:val="TableNormal"/>
    <w:next w:val="TableGrid"/>
    <w:uiPriority w:val="39"/>
    <w:rsid w:val="00FF3F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C47B9"/>
    <w:rPr>
      <w:sz w:val="16"/>
      <w:szCs w:val="16"/>
    </w:rPr>
  </w:style>
  <w:style w:type="paragraph" w:styleId="CommentText">
    <w:name w:val="annotation text"/>
    <w:basedOn w:val="Normal"/>
    <w:link w:val="CommentTextChar"/>
    <w:uiPriority w:val="99"/>
    <w:semiHidden/>
    <w:unhideWhenUsed/>
    <w:rsid w:val="00CC47B9"/>
    <w:pPr>
      <w:spacing w:line="240" w:lineRule="auto"/>
    </w:pPr>
    <w:rPr>
      <w:sz w:val="20"/>
      <w:szCs w:val="20"/>
    </w:rPr>
  </w:style>
  <w:style w:type="character" w:customStyle="1" w:styleId="CommentTextChar">
    <w:name w:val="Comment Text Char"/>
    <w:basedOn w:val="DefaultParagraphFont"/>
    <w:link w:val="CommentText"/>
    <w:uiPriority w:val="99"/>
    <w:semiHidden/>
    <w:rsid w:val="00CC47B9"/>
    <w:rPr>
      <w:sz w:val="20"/>
      <w:szCs w:val="20"/>
    </w:rPr>
  </w:style>
  <w:style w:type="paragraph" w:styleId="CommentSubject">
    <w:name w:val="annotation subject"/>
    <w:basedOn w:val="CommentText"/>
    <w:next w:val="CommentText"/>
    <w:link w:val="CommentSubjectChar"/>
    <w:uiPriority w:val="99"/>
    <w:semiHidden/>
    <w:unhideWhenUsed/>
    <w:rsid w:val="00CC47B9"/>
    <w:rPr>
      <w:b/>
      <w:bCs/>
    </w:rPr>
  </w:style>
  <w:style w:type="character" w:customStyle="1" w:styleId="CommentSubjectChar">
    <w:name w:val="Comment Subject Char"/>
    <w:basedOn w:val="CommentTextChar"/>
    <w:link w:val="CommentSubject"/>
    <w:uiPriority w:val="99"/>
    <w:semiHidden/>
    <w:rsid w:val="00CC47B9"/>
    <w:rPr>
      <w:b/>
      <w:bCs/>
      <w:sz w:val="20"/>
      <w:szCs w:val="20"/>
    </w:rPr>
  </w:style>
  <w:style w:type="paragraph" w:styleId="BalloonText">
    <w:name w:val="Balloon Text"/>
    <w:basedOn w:val="Normal"/>
    <w:link w:val="BalloonTextChar"/>
    <w:uiPriority w:val="99"/>
    <w:semiHidden/>
    <w:unhideWhenUsed/>
    <w:rsid w:val="00CC47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C47B9"/>
    <w:rPr>
      <w:rFonts w:ascii="Segoe UI" w:hAnsi="Segoe UI" w:cs="Segoe UI"/>
      <w:sz w:val="18"/>
      <w:szCs w:val="18"/>
    </w:rPr>
  </w:style>
  <w:style w:type="paragraph" w:styleId="Header">
    <w:name w:val="header"/>
    <w:basedOn w:val="Normal"/>
    <w:link w:val="HeaderChar"/>
    <w:uiPriority w:val="99"/>
    <w:unhideWhenUsed/>
    <w:rsid w:val="005318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FC"/>
  </w:style>
  <w:style w:type="paragraph" w:styleId="Footer">
    <w:name w:val="footer"/>
    <w:basedOn w:val="Normal"/>
    <w:link w:val="FooterChar"/>
    <w:uiPriority w:val="99"/>
    <w:unhideWhenUsed/>
    <w:rsid w:val="005318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F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227</TotalTime>
  <Pages>4</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8989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Fabian, Emily</dc:creator>
  <cp:keywords/>
  <dc:description/>
  <cp:lastModifiedBy>Fabian, Emily</cp:lastModifiedBy>
  <cp:revision>33</cp:revision>
  <dcterms:created xsi:type="dcterms:W3CDTF">2021-02-04T20:03:00Z</dcterms:created>
  <dcterms:modified xsi:type="dcterms:W3CDTF">2023-01-19T15:14:00Z</dcterms:modified>
</cp:coreProperties>
</file>