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80" w:rsidRDefault="00FE2BED" w:rsidP="00812092">
      <w:r>
        <w:rPr>
          <w:b/>
          <w:noProof/>
          <w:sz w:val="16"/>
        </w:rPr>
        <w:drawing>
          <wp:anchor distT="0" distB="0" distL="114300" distR="114300" simplePos="0" relativeHeight="251660288" behindDoc="1" locked="0" layoutInCell="1" allowOverlap="1" wp14:anchorId="55A79952" wp14:editId="19B1C5F8">
            <wp:simplePos x="0" y="0"/>
            <wp:positionH relativeFrom="column">
              <wp:posOffset>2466975</wp:posOffset>
            </wp:positionH>
            <wp:positionV relativeFrom="paragraph">
              <wp:posOffset>-88900</wp:posOffset>
            </wp:positionV>
            <wp:extent cx="1019175" cy="1026084"/>
            <wp:effectExtent l="0" t="0" r="0" b="3175"/>
            <wp:wrapNone/>
            <wp:docPr id="3" name="Picture 3" descr="C:\Users\angela.m.adams\AppData\Local\Microsoft\Windows\INetCache\Content.Outlook\656GW9U5\statese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m.adams\AppData\Local\Microsoft\Windows\INetCache\Content.Outlook\656GW9U5\stateseal-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26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D80" w:rsidRDefault="00DB1D80"/>
    <w:p w:rsidR="00DB1D80" w:rsidRPr="0068580D" w:rsidRDefault="00DB1D80" w:rsidP="00FE2BED">
      <w:pPr>
        <w:jc w:val="center"/>
        <w:rPr>
          <w:sz w:val="16"/>
          <w:szCs w:val="16"/>
        </w:rPr>
      </w:pPr>
    </w:p>
    <w:p w:rsidR="00DB1D80" w:rsidRDefault="00DB1D80">
      <w:pPr>
        <w:rPr>
          <w:b/>
          <w:sz w:val="16"/>
        </w:rPr>
      </w:pPr>
    </w:p>
    <w:p w:rsidR="00DB1D80" w:rsidRPr="0068580D" w:rsidRDefault="00DB1D80">
      <w:pPr>
        <w:rPr>
          <w:sz w:val="16"/>
          <w:szCs w:val="16"/>
        </w:rPr>
      </w:pPr>
    </w:p>
    <w:p w:rsidR="00DB1D80" w:rsidRPr="0068580D" w:rsidRDefault="00DB1D80">
      <w:pPr>
        <w:rPr>
          <w:sz w:val="16"/>
          <w:szCs w:val="16"/>
        </w:rPr>
      </w:pPr>
    </w:p>
    <w:p w:rsidR="000557C1" w:rsidRDefault="00FB442B">
      <w:pPr>
        <w:rPr>
          <w:b/>
          <w:sz w:val="16"/>
        </w:rPr>
      </w:pPr>
      <w:r>
        <w:rPr>
          <w:b/>
          <w:sz w:val="16"/>
        </w:rPr>
        <w:t>Frank Edelblut</w:t>
      </w:r>
      <w:r>
        <w:rPr>
          <w:b/>
          <w:sz w:val="16"/>
        </w:rPr>
        <w:tab/>
      </w:r>
      <w:r w:rsidR="00B768C4" w:rsidRPr="00B768C4">
        <w:rPr>
          <w:b/>
          <w:sz w:val="16"/>
        </w:rPr>
        <w:t xml:space="preserve"> </w:t>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AD1E23">
        <w:rPr>
          <w:b/>
          <w:sz w:val="16"/>
        </w:rPr>
        <w:t>Christine Brenna</w:t>
      </w:r>
      <w:r w:rsidR="00EF61BA">
        <w:rPr>
          <w:b/>
          <w:sz w:val="16"/>
        </w:rPr>
        <w:t>n</w:t>
      </w:r>
      <w:r w:rsidR="00B768C4">
        <w:rPr>
          <w:b/>
          <w:sz w:val="16"/>
        </w:rPr>
        <w:t xml:space="preserve"> </w:t>
      </w:r>
    </w:p>
    <w:p w:rsidR="00DB1D80" w:rsidRDefault="00B768C4" w:rsidP="000557C1">
      <w:pPr>
        <w:tabs>
          <w:tab w:val="left" w:pos="7200"/>
          <w:tab w:val="left" w:pos="7920"/>
          <w:tab w:val="left" w:pos="8640"/>
        </w:tabs>
        <w:rPr>
          <w:sz w:val="14"/>
        </w:rPr>
      </w:pPr>
      <w:r>
        <w:rPr>
          <w:sz w:val="14"/>
        </w:rPr>
        <w:t>Co</w:t>
      </w:r>
      <w:r w:rsidR="00DB1D80">
        <w:rPr>
          <w:sz w:val="14"/>
        </w:rPr>
        <w:t>mmissioner</w:t>
      </w:r>
      <w:r w:rsidR="00DB1D80">
        <w:rPr>
          <w:sz w:val="14"/>
        </w:rPr>
        <w:tab/>
      </w:r>
      <w:r w:rsidR="000557C1">
        <w:rPr>
          <w:sz w:val="14"/>
        </w:rPr>
        <w:tab/>
        <w:t>Deputy Commissioner</w:t>
      </w:r>
    </w:p>
    <w:p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rsidR="00DB1D80" w:rsidRPr="00812092" w:rsidRDefault="00DB1D80" w:rsidP="00812092">
      <w:pPr>
        <w:jc w:val="center"/>
        <w:rPr>
          <w:b/>
          <w:sz w:val="16"/>
        </w:rPr>
      </w:pPr>
      <w:r w:rsidRPr="004B3CF4">
        <w:rPr>
          <w:rFonts w:cs="Arial"/>
          <w:sz w:val="16"/>
          <w:szCs w:val="16"/>
        </w:rPr>
        <w:t>STATE OF NEW HAMPSHIRE</w:t>
      </w:r>
    </w:p>
    <w:p w:rsidR="00DB1D80" w:rsidRDefault="00DB1D80">
      <w:pPr>
        <w:jc w:val="center"/>
        <w:rPr>
          <w:b/>
          <w:sz w:val="16"/>
        </w:rPr>
      </w:pPr>
      <w:r>
        <w:rPr>
          <w:b/>
          <w:sz w:val="16"/>
        </w:rPr>
        <w:t>DEPARTMENT OF EDUCATION</w:t>
      </w:r>
    </w:p>
    <w:p w:rsidR="00DB1D80" w:rsidRDefault="00DB1D80">
      <w:pPr>
        <w:jc w:val="center"/>
        <w:rPr>
          <w:b/>
          <w:sz w:val="16"/>
        </w:rPr>
      </w:pPr>
      <w:r>
        <w:rPr>
          <w:b/>
          <w:sz w:val="16"/>
        </w:rPr>
        <w:t>101 Pleasant Street</w:t>
      </w:r>
    </w:p>
    <w:p w:rsidR="00DB1D80" w:rsidRDefault="00DB1D80">
      <w:pPr>
        <w:jc w:val="center"/>
        <w:rPr>
          <w:b/>
          <w:sz w:val="16"/>
        </w:rPr>
      </w:pPr>
      <w:r>
        <w:rPr>
          <w:b/>
          <w:sz w:val="16"/>
        </w:rPr>
        <w:t>Concord, N.H. 03301</w:t>
      </w:r>
    </w:p>
    <w:p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rsidR="00800D8D" w:rsidRDefault="00DB1D80" w:rsidP="00B127BE">
      <w:pPr>
        <w:jc w:val="center"/>
        <w:rPr>
          <w:rFonts w:cs="Arial"/>
        </w:rPr>
      </w:pPr>
      <w:r>
        <w:rPr>
          <w:b/>
          <w:sz w:val="16"/>
        </w:rPr>
        <w:t xml:space="preserve">FAX </w:t>
      </w:r>
      <w:r w:rsidR="002401BE">
        <w:rPr>
          <w:b/>
          <w:sz w:val="16"/>
        </w:rPr>
        <w:t>(</w:t>
      </w:r>
      <w:r>
        <w:rPr>
          <w:b/>
          <w:sz w:val="16"/>
        </w:rPr>
        <w:t>603</w:t>
      </w:r>
      <w:r w:rsidR="002401BE">
        <w:rPr>
          <w:b/>
          <w:sz w:val="16"/>
        </w:rPr>
        <w:t xml:space="preserve">) </w:t>
      </w:r>
      <w:r>
        <w:rPr>
          <w:b/>
          <w:sz w:val="16"/>
        </w:rPr>
        <w:t>271-1953</w:t>
      </w:r>
    </w:p>
    <w:p w:rsidR="00800D8D" w:rsidRDefault="00E976A1" w:rsidP="00800D8D">
      <w:pPr>
        <w:jc w:val="right"/>
        <w:rPr>
          <w:rFonts w:cs="Arial"/>
          <w:sz w:val="24"/>
          <w:szCs w:val="24"/>
        </w:rPr>
      </w:pPr>
      <w:r>
        <w:rPr>
          <w:rFonts w:cs="Arial"/>
          <w:sz w:val="24"/>
          <w:szCs w:val="24"/>
        </w:rPr>
        <w:t>ATTACHMENT T1</w:t>
      </w:r>
    </w:p>
    <w:p w:rsidR="00E976A1" w:rsidRPr="00E976A1" w:rsidRDefault="00E976A1" w:rsidP="00800D8D">
      <w:pPr>
        <w:jc w:val="right"/>
        <w:rPr>
          <w:rFonts w:cs="Arial"/>
          <w:sz w:val="24"/>
          <w:szCs w:val="24"/>
        </w:rPr>
      </w:pPr>
    </w:p>
    <w:p w:rsidR="00800D8D" w:rsidRPr="00E976A1" w:rsidRDefault="00800D8D" w:rsidP="00800D8D">
      <w:pPr>
        <w:jc w:val="center"/>
        <w:rPr>
          <w:rFonts w:cs="Arial"/>
          <w:sz w:val="24"/>
          <w:szCs w:val="24"/>
        </w:rPr>
      </w:pPr>
      <w:r w:rsidRPr="00E976A1">
        <w:rPr>
          <w:rFonts w:cs="Arial"/>
          <w:b/>
          <w:sz w:val="24"/>
          <w:szCs w:val="24"/>
          <w:u w:val="single"/>
        </w:rPr>
        <w:t>Non-Program Food Revenue</w:t>
      </w:r>
      <w:r w:rsidR="00E976A1" w:rsidRPr="00E976A1">
        <w:rPr>
          <w:rFonts w:cs="Arial"/>
          <w:b/>
          <w:sz w:val="24"/>
          <w:szCs w:val="24"/>
          <w:u w:val="single"/>
        </w:rPr>
        <w:t xml:space="preserve"> </w:t>
      </w:r>
      <w:r w:rsidR="00E976A1" w:rsidRPr="00E976A1">
        <w:rPr>
          <w:rFonts w:cs="Arial"/>
          <w:b/>
          <w:i/>
          <w:sz w:val="24"/>
          <w:szCs w:val="24"/>
          <w:u w:val="single"/>
        </w:rPr>
        <w:t xml:space="preserve">- </w:t>
      </w:r>
      <w:r w:rsidRPr="00E976A1">
        <w:rPr>
          <w:rFonts w:cs="Arial"/>
          <w:b/>
          <w:i/>
          <w:sz w:val="24"/>
          <w:szCs w:val="24"/>
          <w:u w:val="single"/>
        </w:rPr>
        <w:t>Reference Period</w:t>
      </w:r>
    </w:p>
    <w:p w:rsidR="00800D8D" w:rsidRPr="002E05A1" w:rsidRDefault="00800D8D" w:rsidP="00800D8D">
      <w:pPr>
        <w:jc w:val="center"/>
        <w:rPr>
          <w:rFonts w:cs="Arial"/>
          <w:b/>
          <w:u w:val="single"/>
        </w:rPr>
      </w:pPr>
    </w:p>
    <w:p w:rsidR="00800D8D" w:rsidRPr="00E976A1" w:rsidRDefault="00800D8D" w:rsidP="00800D8D">
      <w:pPr>
        <w:rPr>
          <w:rFonts w:cs="Arial"/>
          <w:sz w:val="22"/>
          <w:szCs w:val="22"/>
        </w:rPr>
      </w:pPr>
      <w:r w:rsidRPr="00E976A1">
        <w:rPr>
          <w:rFonts w:cs="Arial"/>
          <w:sz w:val="22"/>
          <w:szCs w:val="22"/>
        </w:rPr>
        <w:t>The State Agency must</w:t>
      </w:r>
      <w:r w:rsidR="00E976A1" w:rsidRPr="00E976A1">
        <w:rPr>
          <w:rFonts w:cs="Arial"/>
          <w:sz w:val="22"/>
          <w:szCs w:val="22"/>
        </w:rPr>
        <w:t xml:space="preserve"> validate the reference period used</w:t>
      </w:r>
      <w:r w:rsidRPr="00E976A1">
        <w:rPr>
          <w:rFonts w:cs="Arial"/>
          <w:sz w:val="22"/>
          <w:szCs w:val="22"/>
        </w:rPr>
        <w:t xml:space="preserve"> for </w:t>
      </w:r>
      <w:r w:rsidR="00E976A1" w:rsidRPr="00E976A1">
        <w:rPr>
          <w:rFonts w:cs="Arial"/>
          <w:sz w:val="22"/>
          <w:szCs w:val="22"/>
        </w:rPr>
        <w:t xml:space="preserve">completing the </w:t>
      </w:r>
      <w:proofErr w:type="gramStart"/>
      <w:r w:rsidRPr="00E976A1">
        <w:rPr>
          <w:rFonts w:cs="Arial"/>
          <w:sz w:val="22"/>
          <w:szCs w:val="22"/>
        </w:rPr>
        <w:t xml:space="preserve">non-program food revenue </w:t>
      </w:r>
      <w:r w:rsidR="00E976A1" w:rsidRPr="00E976A1">
        <w:rPr>
          <w:rFonts w:cs="Arial"/>
          <w:sz w:val="22"/>
          <w:szCs w:val="22"/>
        </w:rPr>
        <w:t>tool</w:t>
      </w:r>
      <w:proofErr w:type="gramEnd"/>
      <w:r w:rsidR="00E976A1" w:rsidRPr="00E976A1">
        <w:rPr>
          <w:rFonts w:cs="Arial"/>
          <w:sz w:val="22"/>
          <w:szCs w:val="22"/>
        </w:rPr>
        <w:t xml:space="preserve"> (attachment T) </w:t>
      </w:r>
      <w:r w:rsidRPr="00E976A1">
        <w:rPr>
          <w:rFonts w:cs="Arial"/>
          <w:sz w:val="22"/>
          <w:szCs w:val="22"/>
        </w:rPr>
        <w:t xml:space="preserve">for all School Food Authorities.  </w:t>
      </w:r>
    </w:p>
    <w:p w:rsidR="00800D8D" w:rsidRPr="00E976A1" w:rsidRDefault="00800D8D" w:rsidP="00800D8D">
      <w:pPr>
        <w:rPr>
          <w:rFonts w:cs="Arial"/>
          <w:sz w:val="22"/>
          <w:szCs w:val="22"/>
        </w:rPr>
      </w:pPr>
    </w:p>
    <w:p w:rsidR="00800D8D" w:rsidRPr="00E976A1" w:rsidRDefault="00800D8D" w:rsidP="00800D8D">
      <w:pPr>
        <w:rPr>
          <w:rFonts w:cs="Arial"/>
          <w:sz w:val="22"/>
          <w:szCs w:val="22"/>
        </w:rPr>
      </w:pPr>
      <w:r w:rsidRPr="00E976A1">
        <w:rPr>
          <w:rFonts w:cs="Arial"/>
          <w:sz w:val="22"/>
          <w:szCs w:val="22"/>
        </w:rPr>
        <w:t xml:space="preserve">The reference period may be a week, a month, or year; however, the reference period must include at least </w:t>
      </w:r>
      <w:proofErr w:type="gramStart"/>
      <w:r w:rsidRPr="00E976A1">
        <w:rPr>
          <w:rFonts w:cs="Arial"/>
          <w:sz w:val="22"/>
          <w:szCs w:val="22"/>
        </w:rPr>
        <w:t>5</w:t>
      </w:r>
      <w:proofErr w:type="gramEnd"/>
      <w:r w:rsidRPr="00E976A1">
        <w:rPr>
          <w:rFonts w:cs="Arial"/>
          <w:sz w:val="22"/>
          <w:szCs w:val="22"/>
        </w:rPr>
        <w:t xml:space="preserve"> consecutive operating days (or 4 consecutive days for schools operating a 4 day week).  The selected days must represent typical food service operations.</w:t>
      </w:r>
    </w:p>
    <w:p w:rsidR="00800D8D" w:rsidRPr="00E976A1" w:rsidRDefault="00800D8D" w:rsidP="00800D8D">
      <w:pPr>
        <w:rPr>
          <w:rFonts w:cs="Arial"/>
          <w:sz w:val="22"/>
          <w:szCs w:val="22"/>
        </w:rPr>
      </w:pPr>
      <w:r w:rsidRPr="00E976A1">
        <w:rPr>
          <w:rFonts w:cs="Arial"/>
          <w:sz w:val="22"/>
          <w:szCs w:val="22"/>
        </w:rPr>
        <w:t xml:space="preserve">  </w:t>
      </w:r>
    </w:p>
    <w:p w:rsidR="00800D8D" w:rsidRPr="00E976A1" w:rsidRDefault="00800D8D" w:rsidP="00800D8D">
      <w:pPr>
        <w:rPr>
          <w:rFonts w:cs="Arial"/>
          <w:sz w:val="22"/>
          <w:szCs w:val="22"/>
        </w:rPr>
      </w:pPr>
      <w:r w:rsidRPr="00E976A1">
        <w:rPr>
          <w:rFonts w:cs="Arial"/>
          <w:sz w:val="22"/>
          <w:szCs w:val="22"/>
        </w:rPr>
        <w:t>Assessments cannot include data from summer school, holidays, or vacations or special circumstances that might distort the program and non-program foods data.</w:t>
      </w:r>
      <w:r w:rsidR="00E976A1" w:rsidRPr="00E976A1">
        <w:rPr>
          <w:rFonts w:cs="Arial"/>
          <w:sz w:val="22"/>
          <w:szCs w:val="22"/>
        </w:rPr>
        <w:t xml:space="preserve">  For more information, please refer to USDA Policy Memo </w:t>
      </w:r>
      <w:r w:rsidR="00E976A1">
        <w:rPr>
          <w:rFonts w:cs="Arial"/>
          <w:sz w:val="22"/>
          <w:szCs w:val="22"/>
        </w:rPr>
        <w:t>SP</w:t>
      </w:r>
      <w:r w:rsidR="00E976A1" w:rsidRPr="00E976A1">
        <w:rPr>
          <w:rFonts w:cs="Arial"/>
          <w:sz w:val="22"/>
          <w:szCs w:val="22"/>
        </w:rPr>
        <w:t xml:space="preserve">20-2016.  </w:t>
      </w:r>
    </w:p>
    <w:p w:rsidR="00800D8D" w:rsidRPr="00E976A1" w:rsidRDefault="00800D8D" w:rsidP="00800D8D">
      <w:pPr>
        <w:rPr>
          <w:rFonts w:cs="Arial"/>
          <w:sz w:val="22"/>
          <w:szCs w:val="22"/>
        </w:rPr>
      </w:pPr>
    </w:p>
    <w:p w:rsidR="00800D8D" w:rsidRDefault="00800D8D" w:rsidP="00800D8D">
      <w:pPr>
        <w:rPr>
          <w:rFonts w:cs="Arial"/>
          <w:sz w:val="22"/>
          <w:szCs w:val="22"/>
        </w:rPr>
      </w:pPr>
      <w:r w:rsidRPr="00E976A1">
        <w:rPr>
          <w:rFonts w:cs="Arial"/>
          <w:sz w:val="22"/>
          <w:szCs w:val="22"/>
        </w:rPr>
        <w:t>In the chart below, indicate the reference period your SAU</w:t>
      </w:r>
      <w:r w:rsidR="00750E52">
        <w:rPr>
          <w:rFonts w:cs="Arial"/>
          <w:sz w:val="22"/>
          <w:szCs w:val="22"/>
        </w:rPr>
        <w:t>/RA</w:t>
      </w:r>
      <w:r w:rsidRPr="00E976A1">
        <w:rPr>
          <w:rFonts w:cs="Arial"/>
          <w:sz w:val="22"/>
          <w:szCs w:val="22"/>
        </w:rPr>
        <w:t xml:space="preserve"> used to determine the non-program food revenue </w:t>
      </w:r>
      <w:r w:rsidR="00E976A1" w:rsidRPr="00E976A1">
        <w:rPr>
          <w:rFonts w:cs="Arial"/>
          <w:sz w:val="22"/>
          <w:szCs w:val="22"/>
        </w:rPr>
        <w:t xml:space="preserve">tool </w:t>
      </w:r>
      <w:r w:rsidRPr="00E976A1">
        <w:rPr>
          <w:rFonts w:cs="Arial"/>
          <w:sz w:val="22"/>
          <w:szCs w:val="22"/>
        </w:rPr>
        <w:t>by placing an</w:t>
      </w:r>
      <w:r>
        <w:rPr>
          <w:rFonts w:cs="Arial"/>
        </w:rPr>
        <w:t xml:space="preserve"> </w:t>
      </w:r>
      <w:r w:rsidRPr="001B7A8C">
        <w:rPr>
          <w:rFonts w:cs="Arial"/>
          <w:b/>
          <w:sz w:val="28"/>
          <w:szCs w:val="28"/>
          <w:bdr w:val="single" w:sz="4" w:space="0" w:color="auto"/>
        </w:rPr>
        <w:t>X</w:t>
      </w:r>
      <w:r>
        <w:rPr>
          <w:rFonts w:cs="Arial"/>
        </w:rPr>
        <w:t xml:space="preserve"> </w:t>
      </w:r>
      <w:r w:rsidRPr="00E976A1">
        <w:rPr>
          <w:rFonts w:cs="Arial"/>
          <w:sz w:val="22"/>
          <w:szCs w:val="22"/>
        </w:rPr>
        <w:t xml:space="preserve">in the appropriate box and indicate the specific time period </w:t>
      </w:r>
      <w:r w:rsidR="00E976A1" w:rsidRPr="00E976A1">
        <w:rPr>
          <w:rFonts w:cs="Arial"/>
          <w:sz w:val="22"/>
          <w:szCs w:val="22"/>
        </w:rPr>
        <w:t xml:space="preserve">used </w:t>
      </w:r>
      <w:r w:rsidRPr="00E976A1">
        <w:rPr>
          <w:rFonts w:cs="Arial"/>
          <w:sz w:val="22"/>
          <w:szCs w:val="22"/>
        </w:rPr>
        <w:t>associated with the reference</w:t>
      </w:r>
      <w:r w:rsidR="00E976A1" w:rsidRPr="00E976A1">
        <w:rPr>
          <w:rFonts w:cs="Arial"/>
          <w:sz w:val="22"/>
          <w:szCs w:val="22"/>
        </w:rPr>
        <w:t xml:space="preserve"> period used.</w:t>
      </w:r>
    </w:p>
    <w:p w:rsidR="00B127BE" w:rsidRDefault="00B127BE" w:rsidP="00800D8D">
      <w:pPr>
        <w:rPr>
          <w:rFonts w:cs="Arial"/>
          <w:sz w:val="22"/>
          <w:szCs w:val="22"/>
        </w:rPr>
      </w:pPr>
    </w:p>
    <w:p w:rsidR="00B127BE" w:rsidRPr="00B127BE" w:rsidRDefault="00B127BE" w:rsidP="00800D8D">
      <w:pPr>
        <w:rPr>
          <w:rFonts w:cs="Arial"/>
          <w:color w:val="1B1B1B"/>
          <w:sz w:val="22"/>
          <w:szCs w:val="22"/>
          <w:shd w:val="clear" w:color="auto" w:fill="FFFFFF"/>
        </w:rPr>
      </w:pPr>
      <w:r w:rsidRPr="00B127BE">
        <w:rPr>
          <w:rFonts w:cs="Arial"/>
          <w:b/>
          <w:color w:val="1B1B1B"/>
          <w:sz w:val="22"/>
          <w:szCs w:val="22"/>
          <w:u w:val="single"/>
          <w:shd w:val="clear" w:color="auto" w:fill="FFFFFF"/>
        </w:rPr>
        <w:t>Definition:</w:t>
      </w:r>
      <w:r w:rsidRPr="00B127BE">
        <w:rPr>
          <w:rFonts w:cs="Arial"/>
          <w:color w:val="1B1B1B"/>
          <w:sz w:val="22"/>
          <w:szCs w:val="22"/>
          <w:shd w:val="clear" w:color="auto" w:fill="FFFFFF"/>
        </w:rPr>
        <w:t xml:space="preserve"> </w:t>
      </w:r>
      <w:proofErr w:type="spellStart"/>
      <w:r w:rsidRPr="00B127BE">
        <w:rPr>
          <w:rFonts w:cs="Arial"/>
          <w:color w:val="1B1B1B"/>
          <w:sz w:val="22"/>
          <w:szCs w:val="22"/>
          <w:shd w:val="clear" w:color="auto" w:fill="FFFFFF"/>
        </w:rPr>
        <w:t>Nonprogram</w:t>
      </w:r>
      <w:proofErr w:type="spellEnd"/>
      <w:r w:rsidRPr="00B127BE">
        <w:rPr>
          <w:rFonts w:cs="Arial"/>
          <w:color w:val="1B1B1B"/>
          <w:sz w:val="22"/>
          <w:szCs w:val="22"/>
          <w:shd w:val="clear" w:color="auto" w:fill="FFFFFF"/>
        </w:rPr>
        <w:t xml:space="preserve"> foods include any </w:t>
      </w:r>
      <w:proofErr w:type="spellStart"/>
      <w:r w:rsidRPr="00B127BE">
        <w:rPr>
          <w:rFonts w:cs="Arial"/>
          <w:color w:val="1B1B1B"/>
          <w:sz w:val="22"/>
          <w:szCs w:val="22"/>
          <w:shd w:val="clear" w:color="auto" w:fill="FFFFFF"/>
        </w:rPr>
        <w:t>nonreimbursable</w:t>
      </w:r>
      <w:proofErr w:type="spellEnd"/>
      <w:r w:rsidRPr="00B127BE">
        <w:rPr>
          <w:rFonts w:cs="Arial"/>
          <w:color w:val="1B1B1B"/>
          <w:sz w:val="22"/>
          <w:szCs w:val="22"/>
          <w:shd w:val="clear" w:color="auto" w:fill="FFFFFF"/>
        </w:rPr>
        <w:t xml:space="preserve"> foods and beverages purchased using funds from the nonprofit school food service acco</w:t>
      </w:r>
      <w:bookmarkStart w:id="0" w:name="_GoBack"/>
      <w:bookmarkEnd w:id="0"/>
      <w:r w:rsidRPr="00B127BE">
        <w:rPr>
          <w:rFonts w:cs="Arial"/>
          <w:color w:val="1B1B1B"/>
          <w:sz w:val="22"/>
          <w:szCs w:val="22"/>
          <w:shd w:val="clear" w:color="auto" w:fill="FFFFFF"/>
        </w:rPr>
        <w:t xml:space="preserve">unt. This encompasses all foods sold in schools as well as adult meals, foods sold outside of school hours or any foods used for catering or vending activities. For the majority of SFAs, a la carte foods offered during meal service account for the largest share of </w:t>
      </w:r>
      <w:proofErr w:type="spellStart"/>
      <w:r w:rsidRPr="00B127BE">
        <w:rPr>
          <w:rFonts w:cs="Arial"/>
          <w:color w:val="1B1B1B"/>
          <w:sz w:val="22"/>
          <w:szCs w:val="22"/>
          <w:shd w:val="clear" w:color="auto" w:fill="FFFFFF"/>
        </w:rPr>
        <w:t>nonprogram</w:t>
      </w:r>
      <w:proofErr w:type="spellEnd"/>
      <w:r w:rsidRPr="00B127BE">
        <w:rPr>
          <w:rFonts w:cs="Arial"/>
          <w:color w:val="1B1B1B"/>
          <w:sz w:val="22"/>
          <w:szCs w:val="22"/>
          <w:shd w:val="clear" w:color="auto" w:fill="FFFFFF"/>
        </w:rPr>
        <w:t xml:space="preserve"> foods.</w:t>
      </w:r>
      <w:r w:rsidRPr="00B127BE">
        <w:rPr>
          <w:rFonts w:cs="Arial"/>
          <w:color w:val="1B1B1B"/>
          <w:sz w:val="22"/>
          <w:szCs w:val="22"/>
          <w:shd w:val="clear" w:color="auto" w:fill="FFFFFF"/>
        </w:rPr>
        <w:t xml:space="preserve"> </w:t>
      </w:r>
      <w:r w:rsidR="005C0C64">
        <w:rPr>
          <w:rFonts w:cs="Arial"/>
          <w:color w:val="1B1B1B"/>
          <w:sz w:val="22"/>
          <w:szCs w:val="22"/>
          <w:shd w:val="clear" w:color="auto" w:fill="FFFFFF"/>
        </w:rPr>
        <w:t xml:space="preserve">Reference: </w:t>
      </w:r>
      <w:hyperlink r:id="rId8" w:history="1">
        <w:r w:rsidRPr="00B127BE">
          <w:rPr>
            <w:rStyle w:val="Hyperlink"/>
            <w:rFonts w:cs="Arial"/>
            <w:sz w:val="22"/>
            <w:szCs w:val="22"/>
            <w:shd w:val="clear" w:color="auto" w:fill="FFFFFF"/>
          </w:rPr>
          <w:t>https://www.fns.usda.gov/cn/nonprofit-school-food-service-account-nonprogram-food-revenue-requirements</w:t>
        </w:r>
      </w:hyperlink>
      <w:r w:rsidRPr="00B127BE">
        <w:rPr>
          <w:rFonts w:cs="Arial"/>
          <w:color w:val="1B1B1B"/>
          <w:sz w:val="22"/>
          <w:szCs w:val="22"/>
          <w:shd w:val="clear" w:color="auto" w:fill="FFFFFF"/>
        </w:rPr>
        <w:t xml:space="preserve">  </w:t>
      </w:r>
    </w:p>
    <w:p w:rsidR="00B127BE" w:rsidRDefault="00B127BE" w:rsidP="00800D8D">
      <w:pPr>
        <w:rPr>
          <w:rFonts w:cs="Arial"/>
          <w:sz w:val="22"/>
          <w:szCs w:val="22"/>
        </w:rPr>
      </w:pPr>
    </w:p>
    <w:tbl>
      <w:tblPr>
        <w:tblStyle w:val="TableGrid"/>
        <w:tblW w:w="0" w:type="auto"/>
        <w:tblLook w:val="04A0" w:firstRow="1" w:lastRow="0" w:firstColumn="1" w:lastColumn="0" w:noHBand="0" w:noVBand="1"/>
      </w:tblPr>
      <w:tblGrid>
        <w:gridCol w:w="4559"/>
        <w:gridCol w:w="4506"/>
      </w:tblGrid>
      <w:tr w:rsidR="00800D8D" w:rsidRPr="002E05A1" w:rsidTr="00B127BE">
        <w:trPr>
          <w:trHeight w:val="249"/>
        </w:trPr>
        <w:tc>
          <w:tcPr>
            <w:tcW w:w="9065" w:type="dxa"/>
            <w:gridSpan w:val="2"/>
          </w:tcPr>
          <w:p w:rsidR="00800D8D" w:rsidRDefault="00800D8D" w:rsidP="00BD2A08">
            <w:pPr>
              <w:rPr>
                <w:rFonts w:cs="Arial"/>
              </w:rPr>
            </w:pPr>
          </w:p>
          <w:p w:rsidR="00800D8D" w:rsidRDefault="00800D8D" w:rsidP="00BD2A08">
            <w:pPr>
              <w:rPr>
                <w:rFonts w:cs="Arial"/>
              </w:rPr>
            </w:pPr>
            <w:r>
              <w:rPr>
                <w:rFonts w:cs="Arial"/>
              </w:rPr>
              <w:t>SAU</w:t>
            </w:r>
            <w:r w:rsidR="00750E52">
              <w:rPr>
                <w:rFonts w:cs="Arial"/>
              </w:rPr>
              <w:t>/RA</w:t>
            </w:r>
            <w:r>
              <w:rPr>
                <w:rFonts w:cs="Arial"/>
              </w:rPr>
              <w:t xml:space="preserve"> #: _______________</w:t>
            </w:r>
          </w:p>
          <w:p w:rsidR="00800D8D" w:rsidRDefault="00800D8D" w:rsidP="00BD2A08">
            <w:pPr>
              <w:rPr>
                <w:rFonts w:cs="Arial"/>
              </w:rPr>
            </w:pPr>
          </w:p>
        </w:tc>
      </w:tr>
      <w:tr w:rsidR="00800D8D" w:rsidRPr="002E05A1" w:rsidTr="00B127BE">
        <w:trPr>
          <w:trHeight w:val="229"/>
        </w:trPr>
        <w:tc>
          <w:tcPr>
            <w:tcW w:w="4559" w:type="dxa"/>
            <w:shd w:val="clear" w:color="auto" w:fill="D9D9D9" w:themeFill="background1" w:themeFillShade="D9"/>
          </w:tcPr>
          <w:p w:rsidR="00800D8D" w:rsidRPr="002E05A1" w:rsidRDefault="00800D8D" w:rsidP="00BD2A08">
            <w:pPr>
              <w:rPr>
                <w:rFonts w:cs="Arial"/>
              </w:rPr>
            </w:pPr>
          </w:p>
          <w:p w:rsidR="00800D8D" w:rsidRPr="001B7A8C" w:rsidRDefault="00800D8D" w:rsidP="00BD2A08">
            <w:pPr>
              <w:jc w:val="center"/>
              <w:rPr>
                <w:rFonts w:cs="Arial"/>
                <w:b/>
              </w:rPr>
            </w:pPr>
            <w:r w:rsidRPr="001B7A8C">
              <w:rPr>
                <w:rFonts w:cs="Arial"/>
                <w:b/>
              </w:rPr>
              <w:t>Reference Period</w:t>
            </w:r>
          </w:p>
          <w:p w:rsidR="00800D8D" w:rsidRPr="00E976A1" w:rsidRDefault="00800D8D" w:rsidP="00BD2A08">
            <w:pPr>
              <w:jc w:val="center"/>
              <w:rPr>
                <w:rFonts w:cs="Arial"/>
                <w:i/>
                <w:sz w:val="20"/>
                <w:szCs w:val="20"/>
              </w:rPr>
            </w:pPr>
            <w:r w:rsidRPr="00E976A1">
              <w:rPr>
                <w:rFonts w:cs="Arial"/>
                <w:i/>
                <w:sz w:val="20"/>
                <w:szCs w:val="20"/>
              </w:rPr>
              <w:t>(Please select one)</w:t>
            </w:r>
          </w:p>
        </w:tc>
        <w:tc>
          <w:tcPr>
            <w:tcW w:w="4506" w:type="dxa"/>
            <w:shd w:val="clear" w:color="auto" w:fill="D9D9D9" w:themeFill="background1" w:themeFillShade="D9"/>
          </w:tcPr>
          <w:p w:rsidR="00800D8D" w:rsidRDefault="00800D8D" w:rsidP="00BD2A08">
            <w:pPr>
              <w:rPr>
                <w:rFonts w:cs="Arial"/>
              </w:rPr>
            </w:pPr>
          </w:p>
          <w:p w:rsidR="00800D8D" w:rsidRPr="001B7A8C" w:rsidRDefault="00800D8D" w:rsidP="00BD2A08">
            <w:pPr>
              <w:jc w:val="center"/>
              <w:rPr>
                <w:rFonts w:cs="Arial"/>
                <w:b/>
              </w:rPr>
            </w:pPr>
            <w:r w:rsidRPr="001B7A8C">
              <w:rPr>
                <w:rFonts w:cs="Arial"/>
                <w:b/>
              </w:rPr>
              <w:t>Indicate the specific time period</w:t>
            </w:r>
          </w:p>
          <w:p w:rsidR="00800D8D" w:rsidRPr="00E976A1" w:rsidRDefault="00800D8D" w:rsidP="00E976A1">
            <w:pPr>
              <w:jc w:val="center"/>
              <w:rPr>
                <w:rFonts w:cs="Arial"/>
                <w:i/>
                <w:sz w:val="20"/>
                <w:szCs w:val="20"/>
              </w:rPr>
            </w:pPr>
            <w:r w:rsidRPr="00E976A1">
              <w:rPr>
                <w:rFonts w:cs="Arial"/>
                <w:i/>
                <w:sz w:val="20"/>
                <w:szCs w:val="20"/>
              </w:rPr>
              <w:t>(Exam</w:t>
            </w:r>
            <w:r w:rsidR="00CF3C2C">
              <w:rPr>
                <w:rFonts w:cs="Arial"/>
                <w:i/>
                <w:sz w:val="20"/>
                <w:szCs w:val="20"/>
              </w:rPr>
              <w:t>ple:  Week = March 9 – 13, 2021</w:t>
            </w:r>
            <w:r w:rsidRPr="00E976A1">
              <w:rPr>
                <w:rFonts w:cs="Arial"/>
                <w:i/>
                <w:sz w:val="20"/>
                <w:szCs w:val="20"/>
              </w:rPr>
              <w:t>)</w:t>
            </w:r>
          </w:p>
        </w:tc>
      </w:tr>
      <w:tr w:rsidR="00800D8D" w:rsidRPr="002E05A1" w:rsidTr="00B127BE">
        <w:trPr>
          <w:trHeight w:val="308"/>
        </w:trPr>
        <w:tc>
          <w:tcPr>
            <w:tcW w:w="4559" w:type="dxa"/>
          </w:tcPr>
          <w:p w:rsidR="00800D8D" w:rsidRPr="00B127BE" w:rsidRDefault="00800D8D" w:rsidP="00BD2A08">
            <w:pPr>
              <w:rPr>
                <w:rFonts w:cs="Arial"/>
                <w:sz w:val="24"/>
                <w:szCs w:val="24"/>
              </w:rPr>
            </w:pPr>
          </w:p>
          <w:p w:rsidR="00800D8D" w:rsidRPr="00B127BE" w:rsidRDefault="00800D8D" w:rsidP="00A06FE4">
            <w:pPr>
              <w:ind w:left="1620"/>
              <w:rPr>
                <w:rFonts w:cs="Arial"/>
                <w:sz w:val="24"/>
                <w:szCs w:val="24"/>
              </w:rPr>
            </w:pPr>
            <w:r w:rsidRPr="00B127BE">
              <w:rPr>
                <w:rFonts w:cs="Arial"/>
                <w:sz w:val="24"/>
                <w:szCs w:val="24"/>
              </w:rPr>
              <w:sym w:font="Wingdings" w:char="F06F"/>
            </w:r>
            <w:r w:rsidRPr="00B127BE">
              <w:rPr>
                <w:rFonts w:cs="Arial"/>
                <w:sz w:val="24"/>
                <w:szCs w:val="24"/>
              </w:rPr>
              <w:t xml:space="preserve">  Week</w:t>
            </w:r>
          </w:p>
        </w:tc>
        <w:tc>
          <w:tcPr>
            <w:tcW w:w="4506" w:type="dxa"/>
          </w:tcPr>
          <w:p w:rsidR="00800D8D" w:rsidRPr="00B127BE" w:rsidRDefault="00800D8D" w:rsidP="00BD2A08">
            <w:pPr>
              <w:rPr>
                <w:rFonts w:cs="Arial"/>
                <w:sz w:val="24"/>
                <w:szCs w:val="24"/>
              </w:rPr>
            </w:pPr>
          </w:p>
        </w:tc>
      </w:tr>
      <w:tr w:rsidR="00800D8D" w:rsidRPr="002E05A1" w:rsidTr="00B127BE">
        <w:trPr>
          <w:trHeight w:val="280"/>
        </w:trPr>
        <w:tc>
          <w:tcPr>
            <w:tcW w:w="4559" w:type="dxa"/>
          </w:tcPr>
          <w:p w:rsidR="00800D8D" w:rsidRPr="00B127BE" w:rsidRDefault="00800D8D" w:rsidP="00BD2A08">
            <w:pPr>
              <w:rPr>
                <w:rFonts w:cs="Arial"/>
                <w:sz w:val="24"/>
                <w:szCs w:val="24"/>
              </w:rPr>
            </w:pPr>
          </w:p>
          <w:p w:rsidR="00800D8D" w:rsidRPr="00B127BE" w:rsidRDefault="00800D8D" w:rsidP="00A06FE4">
            <w:pPr>
              <w:ind w:left="1620"/>
              <w:rPr>
                <w:rFonts w:cs="Arial"/>
                <w:sz w:val="24"/>
                <w:szCs w:val="24"/>
              </w:rPr>
            </w:pPr>
            <w:r w:rsidRPr="00B127BE">
              <w:rPr>
                <w:rFonts w:cs="Arial"/>
                <w:sz w:val="24"/>
                <w:szCs w:val="24"/>
              </w:rPr>
              <w:sym w:font="Wingdings" w:char="F06F"/>
            </w:r>
            <w:r w:rsidRPr="00B127BE">
              <w:rPr>
                <w:rFonts w:cs="Arial"/>
                <w:sz w:val="24"/>
                <w:szCs w:val="24"/>
              </w:rPr>
              <w:t xml:space="preserve">  Month</w:t>
            </w:r>
          </w:p>
        </w:tc>
        <w:tc>
          <w:tcPr>
            <w:tcW w:w="4506" w:type="dxa"/>
          </w:tcPr>
          <w:p w:rsidR="00800D8D" w:rsidRPr="00B127BE" w:rsidRDefault="00800D8D" w:rsidP="00BD2A08">
            <w:pPr>
              <w:rPr>
                <w:rFonts w:cs="Arial"/>
                <w:sz w:val="24"/>
                <w:szCs w:val="24"/>
              </w:rPr>
            </w:pPr>
          </w:p>
        </w:tc>
      </w:tr>
      <w:tr w:rsidR="00800D8D" w:rsidRPr="002E05A1" w:rsidTr="00B127BE">
        <w:trPr>
          <w:trHeight w:val="296"/>
        </w:trPr>
        <w:tc>
          <w:tcPr>
            <w:tcW w:w="4559" w:type="dxa"/>
          </w:tcPr>
          <w:p w:rsidR="00800D8D" w:rsidRPr="00B127BE" w:rsidRDefault="00800D8D" w:rsidP="00BD2A08">
            <w:pPr>
              <w:rPr>
                <w:rFonts w:cs="Arial"/>
                <w:sz w:val="24"/>
                <w:szCs w:val="24"/>
              </w:rPr>
            </w:pPr>
          </w:p>
          <w:p w:rsidR="00800D8D" w:rsidRPr="00B127BE" w:rsidRDefault="00800D8D" w:rsidP="00A06FE4">
            <w:pPr>
              <w:ind w:left="1620"/>
              <w:rPr>
                <w:rFonts w:cs="Arial"/>
                <w:sz w:val="24"/>
                <w:szCs w:val="24"/>
              </w:rPr>
            </w:pPr>
            <w:r w:rsidRPr="00B127BE">
              <w:rPr>
                <w:rFonts w:cs="Arial"/>
                <w:sz w:val="24"/>
                <w:szCs w:val="24"/>
              </w:rPr>
              <w:sym w:font="Wingdings" w:char="F06F"/>
            </w:r>
            <w:r w:rsidRPr="00B127BE">
              <w:rPr>
                <w:rFonts w:cs="Arial"/>
                <w:sz w:val="24"/>
                <w:szCs w:val="24"/>
              </w:rPr>
              <w:t xml:space="preserve">  Year</w:t>
            </w:r>
          </w:p>
        </w:tc>
        <w:tc>
          <w:tcPr>
            <w:tcW w:w="4506" w:type="dxa"/>
          </w:tcPr>
          <w:p w:rsidR="00800D8D" w:rsidRPr="00B127BE" w:rsidRDefault="00800D8D" w:rsidP="00BD2A08">
            <w:pPr>
              <w:rPr>
                <w:rFonts w:cs="Arial"/>
                <w:sz w:val="24"/>
                <w:szCs w:val="24"/>
              </w:rPr>
            </w:pPr>
          </w:p>
        </w:tc>
      </w:tr>
    </w:tbl>
    <w:p w:rsidR="00483134" w:rsidRDefault="00483134" w:rsidP="00483134">
      <w:pPr>
        <w:rPr>
          <w:b/>
          <w:sz w:val="16"/>
        </w:rPr>
      </w:pPr>
    </w:p>
    <w:p w:rsidR="00800D8D" w:rsidRPr="00A06FE4" w:rsidRDefault="00A06FE4" w:rsidP="00483134">
      <w:pPr>
        <w:rPr>
          <w:b/>
          <w:sz w:val="28"/>
          <w:szCs w:val="28"/>
        </w:rPr>
      </w:pPr>
      <w:r w:rsidRPr="00A06FE4">
        <w:rPr>
          <w:b/>
          <w:sz w:val="28"/>
          <w:szCs w:val="28"/>
        </w:rPr>
        <w:t xml:space="preserve">Reports used to complete the Non-Program Food Revenue Tool for </w:t>
      </w:r>
      <w:r>
        <w:rPr>
          <w:b/>
          <w:sz w:val="28"/>
          <w:szCs w:val="28"/>
        </w:rPr>
        <w:t>the selected reference period are</w:t>
      </w:r>
      <w:r w:rsidRPr="00A06FE4">
        <w:rPr>
          <w:b/>
          <w:sz w:val="28"/>
          <w:szCs w:val="28"/>
        </w:rPr>
        <w:t xml:space="preserve"> </w:t>
      </w:r>
      <w:r>
        <w:rPr>
          <w:b/>
          <w:sz w:val="28"/>
          <w:szCs w:val="28"/>
        </w:rPr>
        <w:t>included in this attachment</w:t>
      </w:r>
      <w:r w:rsidRPr="00A06FE4">
        <w:rPr>
          <w:b/>
          <w:sz w:val="28"/>
          <w:szCs w:val="28"/>
        </w:rPr>
        <w:t>.</w:t>
      </w:r>
    </w:p>
    <w:p w:rsidR="00800D8D" w:rsidRPr="00A06FE4" w:rsidRDefault="00800D8D" w:rsidP="00483134">
      <w:pPr>
        <w:rPr>
          <w:b/>
          <w:sz w:val="28"/>
          <w:szCs w:val="28"/>
        </w:rPr>
      </w:pPr>
    </w:p>
    <w:p w:rsidR="00800D8D" w:rsidRPr="00750E52" w:rsidRDefault="00800D8D" w:rsidP="00800D8D">
      <w:pPr>
        <w:jc w:val="center"/>
        <w:rPr>
          <w:i/>
          <w:sz w:val="22"/>
          <w:szCs w:val="22"/>
        </w:rPr>
      </w:pPr>
      <w:r w:rsidRPr="00750E52">
        <w:rPr>
          <w:i/>
          <w:sz w:val="22"/>
          <w:szCs w:val="22"/>
        </w:rPr>
        <w:t>“This institution is an equal opportunity provider.”</w:t>
      </w:r>
    </w:p>
    <w:sectPr w:rsidR="00800D8D" w:rsidRPr="00750E52" w:rsidSect="00B127BE">
      <w:footerReference w:type="default" r:id="rId9"/>
      <w:footerReference w:type="first" r:id="rId10"/>
      <w:pgSz w:w="12240" w:h="15840" w:code="1"/>
      <w:pgMar w:top="720" w:right="1440" w:bottom="0" w:left="1440" w:header="720" w:footer="1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AF" w:rsidRDefault="003D23AF">
      <w:r>
        <w:separator/>
      </w:r>
    </w:p>
  </w:endnote>
  <w:endnote w:type="continuationSeparator" w:id="0">
    <w:p w:rsidR="003D23AF" w:rsidRDefault="003D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5A" w:rsidRDefault="00591B5A">
    <w:pPr>
      <w:pStyle w:val="Footer"/>
      <w:jc w:val="center"/>
      <w:rPr>
        <w:b/>
        <w:sz w:val="16"/>
      </w:rPr>
    </w:pPr>
    <w:r>
      <w:rPr>
        <w:b/>
        <w:sz w:val="16"/>
      </w:rPr>
      <w:t>TDD Access: Relay NH 711</w:t>
    </w:r>
  </w:p>
  <w:p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A3" w:rsidRDefault="00CD78A3" w:rsidP="00CD78A3">
    <w:pPr>
      <w:pStyle w:val="Footer"/>
      <w:jc w:val="center"/>
      <w:rPr>
        <w:b/>
        <w:sz w:val="16"/>
      </w:rPr>
    </w:pPr>
    <w:r>
      <w:rPr>
        <w:b/>
        <w:sz w:val="16"/>
      </w:rPr>
      <w:t>TDD Access: Relay NH 711</w:t>
    </w:r>
  </w:p>
  <w:p w:rsidR="00CD78A3" w:rsidRDefault="00CD78A3" w:rsidP="00CD78A3">
    <w:pPr>
      <w:pStyle w:val="Footer"/>
      <w:jc w:val="center"/>
      <w:rPr>
        <w:sz w:val="16"/>
      </w:rPr>
    </w:pPr>
    <w:r>
      <w:rPr>
        <w:b/>
        <w:sz w:val="16"/>
      </w:rPr>
      <w:t>EQUAL OPPORTUNITY EMPLOYER- EQUAL EDUCATIONAL OPPORTUNITIES</w:t>
    </w:r>
  </w:p>
  <w:p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AF" w:rsidRDefault="003D23AF">
      <w:r>
        <w:separator/>
      </w:r>
    </w:p>
  </w:footnote>
  <w:footnote w:type="continuationSeparator" w:id="0">
    <w:p w:rsidR="003D23AF" w:rsidRDefault="003D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D"/>
    <w:rsid w:val="000069A4"/>
    <w:rsid w:val="000557C1"/>
    <w:rsid w:val="000B34C7"/>
    <w:rsid w:val="000C1BBC"/>
    <w:rsid w:val="000C35C3"/>
    <w:rsid w:val="000D2536"/>
    <w:rsid w:val="00103DB6"/>
    <w:rsid w:val="001164FA"/>
    <w:rsid w:val="00147B6B"/>
    <w:rsid w:val="00163F21"/>
    <w:rsid w:val="001823AA"/>
    <w:rsid w:val="001B458F"/>
    <w:rsid w:val="001D5929"/>
    <w:rsid w:val="001F2025"/>
    <w:rsid w:val="001F4C37"/>
    <w:rsid w:val="00206610"/>
    <w:rsid w:val="00222497"/>
    <w:rsid w:val="002401BE"/>
    <w:rsid w:val="00252E4D"/>
    <w:rsid w:val="00271A50"/>
    <w:rsid w:val="00286ED2"/>
    <w:rsid w:val="00293453"/>
    <w:rsid w:val="00385F51"/>
    <w:rsid w:val="003D23AF"/>
    <w:rsid w:val="003F2EBB"/>
    <w:rsid w:val="003F43C2"/>
    <w:rsid w:val="0040487A"/>
    <w:rsid w:val="004177BC"/>
    <w:rsid w:val="00420AE7"/>
    <w:rsid w:val="00481C62"/>
    <w:rsid w:val="00483128"/>
    <w:rsid w:val="00483134"/>
    <w:rsid w:val="00492772"/>
    <w:rsid w:val="00492A86"/>
    <w:rsid w:val="004A6E40"/>
    <w:rsid w:val="004C3351"/>
    <w:rsid w:val="00513136"/>
    <w:rsid w:val="005202EF"/>
    <w:rsid w:val="0055742D"/>
    <w:rsid w:val="00573708"/>
    <w:rsid w:val="00585DD0"/>
    <w:rsid w:val="00591B5A"/>
    <w:rsid w:val="005A3A1E"/>
    <w:rsid w:val="005C0C64"/>
    <w:rsid w:val="005D073B"/>
    <w:rsid w:val="0068580D"/>
    <w:rsid w:val="006D1DCD"/>
    <w:rsid w:val="00700C52"/>
    <w:rsid w:val="007379C6"/>
    <w:rsid w:val="00750E52"/>
    <w:rsid w:val="00760850"/>
    <w:rsid w:val="00770D58"/>
    <w:rsid w:val="00782376"/>
    <w:rsid w:val="007D7B09"/>
    <w:rsid w:val="007F2458"/>
    <w:rsid w:val="007F375C"/>
    <w:rsid w:val="00800D8D"/>
    <w:rsid w:val="008061DA"/>
    <w:rsid w:val="00811393"/>
    <w:rsid w:val="00812092"/>
    <w:rsid w:val="00817B19"/>
    <w:rsid w:val="00826FB1"/>
    <w:rsid w:val="00876BCD"/>
    <w:rsid w:val="008F533B"/>
    <w:rsid w:val="008F5ED6"/>
    <w:rsid w:val="00906078"/>
    <w:rsid w:val="0095276E"/>
    <w:rsid w:val="00960FDD"/>
    <w:rsid w:val="00962D35"/>
    <w:rsid w:val="009B5768"/>
    <w:rsid w:val="009D2795"/>
    <w:rsid w:val="00A06FE4"/>
    <w:rsid w:val="00A97AFA"/>
    <w:rsid w:val="00AA0D0B"/>
    <w:rsid w:val="00AD1E23"/>
    <w:rsid w:val="00AE3122"/>
    <w:rsid w:val="00B127BE"/>
    <w:rsid w:val="00B351AB"/>
    <w:rsid w:val="00B52D51"/>
    <w:rsid w:val="00B768C4"/>
    <w:rsid w:val="00B976CB"/>
    <w:rsid w:val="00BB1AC9"/>
    <w:rsid w:val="00BB7E45"/>
    <w:rsid w:val="00C26240"/>
    <w:rsid w:val="00C709B3"/>
    <w:rsid w:val="00CD78A3"/>
    <w:rsid w:val="00CF3C2C"/>
    <w:rsid w:val="00D0740D"/>
    <w:rsid w:val="00D910B9"/>
    <w:rsid w:val="00D91C1F"/>
    <w:rsid w:val="00DA76AD"/>
    <w:rsid w:val="00DB1D80"/>
    <w:rsid w:val="00DB6BAA"/>
    <w:rsid w:val="00DD5F8F"/>
    <w:rsid w:val="00E33478"/>
    <w:rsid w:val="00E40073"/>
    <w:rsid w:val="00E976A1"/>
    <w:rsid w:val="00EA142D"/>
    <w:rsid w:val="00EB4661"/>
    <w:rsid w:val="00EF2276"/>
    <w:rsid w:val="00EF4432"/>
    <w:rsid w:val="00EF61BA"/>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17A677"/>
  <w15:docId w15:val="{C452CCD9-5F64-4D57-B898-C409A5C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table" w:styleId="TableGrid">
    <w:name w:val="Table Grid"/>
    <w:basedOn w:val="TableNormal"/>
    <w:uiPriority w:val="59"/>
    <w:rsid w:val="00800D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n/nonprofit-school-food-service-account-nonprogram-food-revenue-require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DOESEALE.dot</Template>
  <TotalTime>12</TotalTime>
  <Pages>1</Pages>
  <Words>292</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Mayo</dc:creator>
  <cp:lastModifiedBy>Dwyer, Alexis</cp:lastModifiedBy>
  <cp:revision>4</cp:revision>
  <cp:lastPrinted>2017-07-06T12:57:00Z</cp:lastPrinted>
  <dcterms:created xsi:type="dcterms:W3CDTF">2020-05-29T15:23:00Z</dcterms:created>
  <dcterms:modified xsi:type="dcterms:W3CDTF">2021-07-21T14:30:00Z</dcterms:modified>
</cp:coreProperties>
</file>