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A18" w:rsidRDefault="00106A18">
      <w:r>
        <w:rPr>
          <w:noProof/>
        </w:rPr>
        <w:drawing>
          <wp:inline distT="0" distB="0" distL="0" distR="0" wp14:anchorId="145AA080" wp14:editId="73CC12E8">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TofEDlogo.png"/>
                    <pic:cNvPicPr/>
                  </pic:nvPicPr>
                  <pic:blipFill>
                    <a:blip r:embed="rId7">
                      <a:extLst>
                        <a:ext uri="{28A0092B-C50C-407E-A947-70E740481C1C}">
                          <a14:useLocalDpi xmlns:a14="http://schemas.microsoft.com/office/drawing/2010/main" val="0"/>
                        </a:ext>
                      </a:extLst>
                    </a:blip>
                    <a:stretch>
                      <a:fillRect/>
                    </a:stretch>
                  </pic:blipFill>
                  <pic:spPr>
                    <a:xfrm>
                      <a:off x="0" y="0"/>
                      <a:ext cx="5943600" cy="790575"/>
                    </a:xfrm>
                    <a:prstGeom prst="rect">
                      <a:avLst/>
                    </a:prstGeom>
                  </pic:spPr>
                </pic:pic>
              </a:graphicData>
            </a:graphic>
          </wp:inline>
        </w:drawing>
      </w:r>
    </w:p>
    <w:p w:rsidR="00106A18" w:rsidRDefault="00106A18" w:rsidP="009C5FE7">
      <w:pPr>
        <w:jc w:val="center"/>
      </w:pPr>
      <w:r>
        <w:t>Bureau of Career Development</w:t>
      </w:r>
    </w:p>
    <w:p w:rsidR="00106A18" w:rsidRPr="0006021D" w:rsidRDefault="00BA7310" w:rsidP="009C5FE7">
      <w:pPr>
        <w:jc w:val="center"/>
        <w:rPr>
          <w:b/>
        </w:rPr>
      </w:pPr>
      <w:r>
        <w:rPr>
          <w:b/>
        </w:rPr>
        <w:t>Pre-Engineering K-12</w:t>
      </w:r>
      <w:r w:rsidR="00106A18" w:rsidRPr="0006021D">
        <w:rPr>
          <w:b/>
        </w:rPr>
        <w:t xml:space="preserve"> </w:t>
      </w:r>
      <w:r w:rsidR="00106A18">
        <w:rPr>
          <w:b/>
        </w:rPr>
        <w:t xml:space="preserve">Request for </w:t>
      </w:r>
      <w:r w:rsidR="00106A18" w:rsidRPr="0006021D">
        <w:rPr>
          <w:b/>
        </w:rPr>
        <w:t>Application</w:t>
      </w:r>
      <w:r w:rsidR="00106A18">
        <w:rPr>
          <w:b/>
        </w:rPr>
        <w:t>s</w:t>
      </w:r>
    </w:p>
    <w:p w:rsidR="00106A18" w:rsidRDefault="00106A18" w:rsidP="009C5FE7">
      <w:r>
        <w:t>Relevant Legi</w:t>
      </w:r>
      <w:r w:rsidR="003D1495">
        <w:t>slation: NH RSA 188E:14</w:t>
      </w:r>
    </w:p>
    <w:p w:rsidR="00106A18" w:rsidRDefault="00106A18" w:rsidP="009C5FE7">
      <w:r w:rsidRPr="0006021D">
        <w:rPr>
          <w:b/>
        </w:rPr>
        <w:t>Overview:</w:t>
      </w:r>
      <w:r>
        <w:t xml:space="preserve"> The Bureau of Career Development (BCD) at the New Hampshire Department of Education will issue discreti</w:t>
      </w:r>
      <w:r w:rsidR="00BA7310">
        <w:t>onary grants to local education agencies (LEAs) and public charter schools to purchase equipment, supplies, or other curriculum materials such as: textbooks and software licenses, or for career development activities, such as student trips to NH businesses and postsecondary level programs. Such costs must support the absolute priority of this grant funding opportunity, which is to expand pre-engineering (including elements such as, but not limited to: design thinking, computer science, robotics, mechatronics, and career pathway planning) for elementary, middle, or high school students</w:t>
      </w:r>
      <w:r w:rsidR="00171D52">
        <w:t>.</w:t>
      </w:r>
    </w:p>
    <w:p w:rsidR="00106A18" w:rsidRPr="009A0D42" w:rsidRDefault="009A0D42" w:rsidP="009A0D42">
      <w:pPr>
        <w:rPr>
          <w:b/>
        </w:rPr>
      </w:pPr>
      <w:r>
        <w:rPr>
          <w:b/>
        </w:rPr>
        <w:t>Directions:</w:t>
      </w:r>
    </w:p>
    <w:p w:rsidR="00106A18" w:rsidRDefault="00106A18" w:rsidP="00106A18">
      <w:pPr>
        <w:pStyle w:val="ListParagraph"/>
        <w:numPr>
          <w:ilvl w:val="0"/>
          <w:numId w:val="8"/>
        </w:numPr>
      </w:pPr>
      <w:r>
        <w:t>Complete the application form prompts below</w:t>
      </w:r>
      <w:r w:rsidR="001670F1">
        <w:t>. Each prompt’s response should</w:t>
      </w:r>
      <w:r>
        <w:t xml:space="preserve"> be no more than 300 words.</w:t>
      </w:r>
    </w:p>
    <w:p w:rsidR="00106A18" w:rsidRDefault="00106A18" w:rsidP="009A0D42">
      <w:pPr>
        <w:pStyle w:val="ListParagraph"/>
        <w:numPr>
          <w:ilvl w:val="0"/>
          <w:numId w:val="8"/>
        </w:numPr>
      </w:pPr>
      <w:r>
        <w:t>Submit the application electronically to</w:t>
      </w:r>
      <w:r w:rsidR="009A0D42">
        <w:t xml:space="preserve"> </w:t>
      </w:r>
      <w:r w:rsidR="009A0D42" w:rsidRPr="009A0D42">
        <w:t>St</w:t>
      </w:r>
      <w:r w:rsidR="009A0D42">
        <w:t>ephanie.S.Gray-Lemay@doe.nh.gov</w:t>
      </w:r>
      <w:r>
        <w:t xml:space="preserve">. All applications </w:t>
      </w:r>
      <w:proofErr w:type="gramStart"/>
      <w:r>
        <w:t>must be received</w:t>
      </w:r>
      <w:proofErr w:type="gramEnd"/>
      <w:r>
        <w:t xml:space="preserve"> </w:t>
      </w:r>
      <w:r w:rsidR="009A0D42">
        <w:t>prior to 4pm on</w:t>
      </w:r>
      <w:r w:rsidR="003D1495">
        <w:t xml:space="preserve"> 4/27/</w:t>
      </w:r>
      <w:bookmarkStart w:id="0" w:name="_GoBack"/>
      <w:bookmarkEnd w:id="0"/>
      <w:r w:rsidR="004E21C0">
        <w:t>2023 (</w:t>
      </w:r>
      <w:r>
        <w:t>30 days from publication of the Request for Applications).</w:t>
      </w:r>
    </w:p>
    <w:p w:rsidR="00106A18" w:rsidRDefault="00106A18" w:rsidP="00847D30">
      <w:pPr>
        <w:rPr>
          <w:b/>
        </w:rPr>
      </w:pPr>
      <w:r>
        <w:rPr>
          <w:b/>
        </w:rPr>
        <w:t xml:space="preserve">Absolute Priority: </w:t>
      </w:r>
    </w:p>
    <w:p w:rsidR="00106A18" w:rsidRPr="0076715D" w:rsidRDefault="00E45E62" w:rsidP="0076715D">
      <w:pPr>
        <w:pStyle w:val="ListParagraph"/>
        <w:rPr>
          <w:b/>
        </w:rPr>
      </w:pPr>
      <w:r>
        <w:t>Expand pre-engineering activities and experiences for students ranging from Kindergarten to the 12</w:t>
      </w:r>
      <w:r w:rsidRPr="00E45E62">
        <w:rPr>
          <w:vertAlign w:val="superscript"/>
        </w:rPr>
        <w:t>th</w:t>
      </w:r>
      <w:r>
        <w:t xml:space="preserve"> grade. For the purposes of this funding opportunity, pre-engineering includes design thinking and applications, computer science, robotics, and career development and exploration experiences related to careers in engineering.</w:t>
      </w:r>
      <w:r w:rsidR="0076715D">
        <w:t xml:space="preserve"> Funds </w:t>
      </w:r>
      <w:proofErr w:type="gramStart"/>
      <w:r w:rsidR="0076715D">
        <w:t>may be used</w:t>
      </w:r>
      <w:proofErr w:type="gramEnd"/>
      <w:r w:rsidR="0076715D">
        <w:t xml:space="preserve"> for costs related to curriculum materials for pre-approved programs such as Project Lead the Way or First Robotics, but are not limited to such programs.</w:t>
      </w:r>
    </w:p>
    <w:p w:rsidR="0076715D" w:rsidRPr="005001FD" w:rsidRDefault="0076715D" w:rsidP="0076715D">
      <w:pPr>
        <w:pStyle w:val="ListParagraph"/>
        <w:rPr>
          <w:b/>
        </w:rPr>
      </w:pPr>
    </w:p>
    <w:p w:rsidR="00106A18" w:rsidRDefault="00106A18" w:rsidP="005001FD">
      <w:pPr>
        <w:pStyle w:val="ListParagraph"/>
        <w:rPr>
          <w:b/>
        </w:rPr>
      </w:pPr>
      <w:r>
        <w:rPr>
          <w:b/>
        </w:rPr>
        <w:t xml:space="preserve">Note: </w:t>
      </w:r>
      <w:r w:rsidRPr="009F4FEF">
        <w:rPr>
          <w:rFonts w:cstheme="minorHAnsi"/>
          <w:color w:val="201F1E"/>
          <w:shd w:val="clear" w:color="auto" w:fill="FFFFFF"/>
        </w:rPr>
        <w:t xml:space="preserve">The </w:t>
      </w:r>
      <w:r>
        <w:rPr>
          <w:rFonts w:cstheme="minorHAnsi"/>
          <w:color w:val="201F1E"/>
          <w:shd w:val="clear" w:color="auto" w:fill="FFFFFF"/>
        </w:rPr>
        <w:t>BCD</w:t>
      </w:r>
      <w:r w:rsidRPr="009F4FEF">
        <w:rPr>
          <w:rFonts w:cstheme="minorHAnsi"/>
          <w:color w:val="201F1E"/>
          <w:shd w:val="clear" w:color="auto" w:fill="FFFFFF"/>
        </w:rPr>
        <w:t xml:space="preserve"> </w:t>
      </w:r>
      <w:r w:rsidRPr="005001FD">
        <w:rPr>
          <w:rFonts w:cstheme="minorHAnsi"/>
          <w:color w:val="201F1E"/>
          <w:u w:val="single"/>
          <w:shd w:val="clear" w:color="auto" w:fill="FFFFFF"/>
        </w:rPr>
        <w:t>will not</w:t>
      </w:r>
      <w:r w:rsidRPr="009F4FEF">
        <w:rPr>
          <w:rFonts w:cstheme="minorHAnsi"/>
          <w:color w:val="201F1E"/>
          <w:shd w:val="clear" w:color="auto" w:fill="FFFFFF"/>
        </w:rPr>
        <w:t xml:space="preserve"> accept applications </w:t>
      </w:r>
      <w:r>
        <w:rPr>
          <w:rFonts w:cstheme="minorHAnsi"/>
          <w:color w:val="201F1E"/>
          <w:shd w:val="clear" w:color="auto" w:fill="FFFFFF"/>
        </w:rPr>
        <w:t>that do not meet this</w:t>
      </w:r>
      <w:r w:rsidRPr="009F4FEF">
        <w:rPr>
          <w:rFonts w:cstheme="minorHAnsi"/>
          <w:color w:val="201F1E"/>
          <w:shd w:val="clear" w:color="auto" w:fill="FFFFFF"/>
        </w:rPr>
        <w:t xml:space="preserve"> absolute priority</w:t>
      </w:r>
      <w:r w:rsidRPr="005662D6">
        <w:rPr>
          <w:b/>
        </w:rPr>
        <w:t>.</w:t>
      </w:r>
    </w:p>
    <w:p w:rsidR="00106A18" w:rsidRDefault="00106A18" w:rsidP="00847D30">
      <w:pPr>
        <w:rPr>
          <w:b/>
        </w:rPr>
      </w:pPr>
    </w:p>
    <w:p w:rsidR="007E00DF" w:rsidRDefault="007E00DF" w:rsidP="00847D30">
      <w:pPr>
        <w:rPr>
          <w:b/>
        </w:rPr>
      </w:pPr>
    </w:p>
    <w:p w:rsidR="007E00DF" w:rsidRDefault="007E00DF" w:rsidP="00847D30">
      <w:pPr>
        <w:rPr>
          <w:b/>
        </w:rPr>
      </w:pPr>
    </w:p>
    <w:p w:rsidR="007E00DF" w:rsidRDefault="007E00DF" w:rsidP="00847D30">
      <w:pPr>
        <w:rPr>
          <w:b/>
        </w:rPr>
      </w:pPr>
    </w:p>
    <w:p w:rsidR="007E00DF" w:rsidRDefault="007E00DF" w:rsidP="00847D30">
      <w:pPr>
        <w:rPr>
          <w:b/>
        </w:rPr>
      </w:pPr>
    </w:p>
    <w:p w:rsidR="007E00DF" w:rsidRDefault="007E00DF" w:rsidP="00847D30">
      <w:pPr>
        <w:rPr>
          <w:b/>
        </w:rPr>
      </w:pPr>
    </w:p>
    <w:p w:rsidR="00106A18" w:rsidRDefault="00106A18" w:rsidP="00847D30">
      <w:pPr>
        <w:rPr>
          <w:b/>
        </w:rPr>
      </w:pPr>
    </w:p>
    <w:p w:rsidR="00106A18" w:rsidRDefault="00106A18" w:rsidP="00847D30">
      <w:pPr>
        <w:rPr>
          <w:b/>
        </w:rPr>
      </w:pPr>
      <w:r>
        <w:rPr>
          <w:b/>
        </w:rPr>
        <w:lastRenderedPageBreak/>
        <w:t>Competitive Preference Priorities:</w:t>
      </w:r>
    </w:p>
    <w:p w:rsidR="00106A18" w:rsidRDefault="00106A18" w:rsidP="00106A18">
      <w:pPr>
        <w:pStyle w:val="ListParagraph"/>
        <w:numPr>
          <w:ilvl w:val="0"/>
          <w:numId w:val="10"/>
        </w:numPr>
      </w:pPr>
      <w:r>
        <w:rPr>
          <w:b/>
        </w:rPr>
        <w:t>Sustainabi</w:t>
      </w:r>
      <w:r w:rsidR="008B0FD6">
        <w:rPr>
          <w:b/>
        </w:rPr>
        <w:t>lity of Project through Local</w:t>
      </w:r>
      <w:r>
        <w:rPr>
          <w:b/>
        </w:rPr>
        <w:t xml:space="preserve"> Match—</w:t>
      </w:r>
      <w:r>
        <w:t xml:space="preserve">Proposals including a </w:t>
      </w:r>
      <w:r w:rsidR="007E00DF">
        <w:t>1:1 match of local funds to State of New Hampshire funds requested through this funding opportunity will earn five (5) additional competitive preference points in scoring.</w:t>
      </w:r>
    </w:p>
    <w:p w:rsidR="007E00DF" w:rsidRDefault="007E00DF" w:rsidP="007E00DF">
      <w:pPr>
        <w:pStyle w:val="ListParagraph"/>
      </w:pPr>
    </w:p>
    <w:p w:rsidR="00106A18" w:rsidRPr="009F4FEF" w:rsidRDefault="00106A18" w:rsidP="005001FD">
      <w:pPr>
        <w:pStyle w:val="ListParagraph"/>
        <w:rPr>
          <w:rFonts w:cstheme="minorHAnsi"/>
          <w:color w:val="201F1E"/>
          <w:shd w:val="clear" w:color="auto" w:fill="FFFFFF"/>
        </w:rPr>
      </w:pPr>
      <w:r>
        <w:rPr>
          <w:b/>
        </w:rPr>
        <w:t xml:space="preserve">Note: </w:t>
      </w:r>
      <w:r w:rsidRPr="00073C6C">
        <w:rPr>
          <w:rFonts w:cstheme="minorHAnsi"/>
          <w:color w:val="201F1E"/>
          <w:shd w:val="clear" w:color="auto" w:fill="FFFFFF"/>
        </w:rPr>
        <w:t xml:space="preserve">The </w:t>
      </w:r>
      <w:r>
        <w:rPr>
          <w:rFonts w:cstheme="minorHAnsi"/>
          <w:color w:val="201F1E"/>
          <w:shd w:val="clear" w:color="auto" w:fill="FFFFFF"/>
        </w:rPr>
        <w:t>BCD</w:t>
      </w:r>
      <w:r w:rsidRPr="00073C6C">
        <w:rPr>
          <w:rFonts w:cstheme="minorHAnsi"/>
          <w:color w:val="201F1E"/>
          <w:shd w:val="clear" w:color="auto" w:fill="FFFFFF"/>
        </w:rPr>
        <w:t xml:space="preserve"> </w:t>
      </w:r>
      <w:r w:rsidRPr="005001FD">
        <w:rPr>
          <w:rFonts w:cstheme="minorHAnsi"/>
          <w:color w:val="201F1E"/>
          <w:u w:val="single"/>
          <w:shd w:val="clear" w:color="auto" w:fill="FFFFFF"/>
        </w:rPr>
        <w:t>will</w:t>
      </w:r>
      <w:r w:rsidRPr="00073C6C">
        <w:rPr>
          <w:rFonts w:cstheme="minorHAnsi"/>
          <w:color w:val="201F1E"/>
          <w:shd w:val="clear" w:color="auto" w:fill="FFFFFF"/>
        </w:rPr>
        <w:t xml:space="preserve"> accept applications </w:t>
      </w:r>
      <w:r>
        <w:rPr>
          <w:rFonts w:cstheme="minorHAnsi"/>
          <w:color w:val="201F1E"/>
          <w:shd w:val="clear" w:color="auto" w:fill="FFFFFF"/>
        </w:rPr>
        <w:t>that do not meet this competitive</w:t>
      </w:r>
      <w:r w:rsidRPr="00073C6C">
        <w:rPr>
          <w:rFonts w:cstheme="minorHAnsi"/>
          <w:color w:val="201F1E"/>
          <w:shd w:val="clear" w:color="auto" w:fill="FFFFFF"/>
        </w:rPr>
        <w:t xml:space="preserve"> priority</w:t>
      </w:r>
      <w:r w:rsidRPr="009F4FEF">
        <w:rPr>
          <w:rFonts w:cstheme="minorHAnsi"/>
          <w:color w:val="201F1E"/>
          <w:shd w:val="clear" w:color="auto" w:fill="FFFFFF"/>
        </w:rPr>
        <w:t>, but such applications will receive 0 points under competitive preference priority 1.</w:t>
      </w:r>
    </w:p>
    <w:p w:rsidR="00106A18" w:rsidRDefault="00106A18" w:rsidP="005001FD">
      <w:pPr>
        <w:pStyle w:val="ListParagraph"/>
      </w:pPr>
    </w:p>
    <w:p w:rsidR="00106A18" w:rsidRDefault="00056105" w:rsidP="00106A18">
      <w:pPr>
        <w:pStyle w:val="ListParagraph"/>
        <w:numPr>
          <w:ilvl w:val="0"/>
          <w:numId w:val="10"/>
        </w:numPr>
      </w:pPr>
      <w:proofErr w:type="gramStart"/>
      <w:r>
        <w:rPr>
          <w:b/>
        </w:rPr>
        <w:t>Connection and Collaboration with Career and Technical Education (CTE)</w:t>
      </w:r>
      <w:r w:rsidR="003255D9">
        <w:rPr>
          <w:b/>
        </w:rPr>
        <w:t xml:space="preserve">- </w:t>
      </w:r>
      <w:r w:rsidR="003255D9">
        <w:t>Proposals including a explicitly stated plan to connect students with high school CTE programs within the region, including engineering, drafting/design, biotechnology, advanced manufacturing, aviation, and IT/Computer Science will receive between 1 and 5 additional competitive preference points in scoring, depending on the quality of the connection or collaboration as determined by criteria in the scoring rubric.</w:t>
      </w:r>
      <w:proofErr w:type="gramEnd"/>
    </w:p>
    <w:p w:rsidR="003255D9" w:rsidRDefault="003255D9" w:rsidP="00106A18">
      <w:pPr>
        <w:pStyle w:val="ListParagraph"/>
        <w:numPr>
          <w:ilvl w:val="0"/>
          <w:numId w:val="10"/>
        </w:numPr>
      </w:pPr>
    </w:p>
    <w:p w:rsidR="00106A18" w:rsidRPr="00073C6C" w:rsidRDefault="00106A18" w:rsidP="005001FD">
      <w:pPr>
        <w:pStyle w:val="ListParagraph"/>
        <w:rPr>
          <w:rFonts w:cstheme="minorHAnsi"/>
          <w:color w:val="201F1E"/>
          <w:shd w:val="clear" w:color="auto" w:fill="FFFFFF"/>
        </w:rPr>
      </w:pPr>
      <w:r>
        <w:rPr>
          <w:b/>
        </w:rPr>
        <w:t xml:space="preserve">Note: </w:t>
      </w:r>
      <w:r w:rsidRPr="00073C6C">
        <w:rPr>
          <w:rFonts w:cstheme="minorHAnsi"/>
          <w:color w:val="201F1E"/>
          <w:shd w:val="clear" w:color="auto" w:fill="FFFFFF"/>
        </w:rPr>
        <w:t xml:space="preserve">The </w:t>
      </w:r>
      <w:r>
        <w:rPr>
          <w:rFonts w:cstheme="minorHAnsi"/>
          <w:color w:val="201F1E"/>
          <w:shd w:val="clear" w:color="auto" w:fill="FFFFFF"/>
        </w:rPr>
        <w:t>BCD</w:t>
      </w:r>
      <w:r w:rsidRPr="00073C6C">
        <w:rPr>
          <w:rFonts w:cstheme="minorHAnsi"/>
          <w:color w:val="201F1E"/>
          <w:shd w:val="clear" w:color="auto" w:fill="FFFFFF"/>
        </w:rPr>
        <w:t xml:space="preserve"> </w:t>
      </w:r>
      <w:r w:rsidRPr="00073C6C">
        <w:rPr>
          <w:rFonts w:cstheme="minorHAnsi"/>
          <w:color w:val="201F1E"/>
          <w:u w:val="single"/>
          <w:shd w:val="clear" w:color="auto" w:fill="FFFFFF"/>
        </w:rPr>
        <w:t>will</w:t>
      </w:r>
      <w:r w:rsidRPr="00073C6C">
        <w:rPr>
          <w:rFonts w:cstheme="minorHAnsi"/>
          <w:color w:val="201F1E"/>
          <w:shd w:val="clear" w:color="auto" w:fill="FFFFFF"/>
        </w:rPr>
        <w:t xml:space="preserve"> accept applications </w:t>
      </w:r>
      <w:r>
        <w:rPr>
          <w:rFonts w:cstheme="minorHAnsi"/>
          <w:color w:val="201F1E"/>
          <w:shd w:val="clear" w:color="auto" w:fill="FFFFFF"/>
        </w:rPr>
        <w:t xml:space="preserve">that do not meet this competitive </w:t>
      </w:r>
      <w:r w:rsidRPr="00073C6C">
        <w:rPr>
          <w:rFonts w:cstheme="minorHAnsi"/>
          <w:color w:val="201F1E"/>
          <w:shd w:val="clear" w:color="auto" w:fill="FFFFFF"/>
        </w:rPr>
        <w:t>priority, but such applications will receive 0 points under c</w:t>
      </w:r>
      <w:r>
        <w:rPr>
          <w:rFonts w:cstheme="minorHAnsi"/>
          <w:color w:val="201F1E"/>
          <w:shd w:val="clear" w:color="auto" w:fill="FFFFFF"/>
        </w:rPr>
        <w:t>ompetitive preference priority 2</w:t>
      </w:r>
      <w:r w:rsidRPr="00073C6C">
        <w:rPr>
          <w:rFonts w:cstheme="minorHAnsi"/>
          <w:color w:val="201F1E"/>
          <w:shd w:val="clear" w:color="auto" w:fill="FFFFFF"/>
        </w:rPr>
        <w:t>.</w:t>
      </w:r>
    </w:p>
    <w:p w:rsidR="00106A18" w:rsidRPr="00847D30" w:rsidRDefault="00106A18" w:rsidP="005001FD">
      <w:pPr>
        <w:pStyle w:val="ListParagraph"/>
      </w:pPr>
    </w:p>
    <w:p w:rsidR="00106A18" w:rsidRDefault="00106A18" w:rsidP="009C5FE7">
      <w:r w:rsidRPr="0006021D">
        <w:rPr>
          <w:b/>
        </w:rPr>
        <w:t>Deliverables:</w:t>
      </w:r>
      <w:r w:rsidR="00A62187">
        <w:t xml:space="preserve"> Explain how the activities will result in clearly defined outcomes. Such outcomes include products and deliverables (including curriculum items, assessment tools, career pathway models, personalized learning plans, websites, apps, and any other products resulting from the project). Describe performance metrics and their clear connection to project activities, including a means to measure attainment of metrics directly related to absolute priority. For example, if the goal is to expand Kindergarten students understanding of engineering design principles; determine a reasonable number of students who will demonstrate such an understanding by the</w:t>
      </w:r>
      <w:r w:rsidR="004D7676">
        <w:t xml:space="preserve"> end of the project period.</w:t>
      </w:r>
    </w:p>
    <w:p w:rsidR="00106A18" w:rsidRPr="00C02A83" w:rsidRDefault="00106A18" w:rsidP="00C02A83">
      <w:pPr>
        <w:rPr>
          <w:b/>
        </w:rPr>
      </w:pPr>
      <w:r w:rsidRPr="00531B3E">
        <w:rPr>
          <w:b/>
        </w:rPr>
        <w:t xml:space="preserve">Budget: </w:t>
      </w:r>
      <w:r>
        <w:t>While there is no award minimum or maximum amount for each proposal, the estimated budget for each proposal is $5,000 to</w:t>
      </w:r>
      <w:r w:rsidR="00C02A83">
        <w:t xml:space="preserve"> $50,000.00</w:t>
      </w:r>
    </w:p>
    <w:p w:rsidR="00106A18" w:rsidRDefault="00106A18" w:rsidP="005001FD">
      <w:pPr>
        <w:pStyle w:val="NoSpacing"/>
      </w:pPr>
    </w:p>
    <w:p w:rsidR="00106A18" w:rsidRPr="00130077" w:rsidRDefault="00130077" w:rsidP="00130077">
      <w:r>
        <w:rPr>
          <w:b/>
        </w:rPr>
        <w:t xml:space="preserve">Availability of Funds: </w:t>
      </w:r>
      <w:r>
        <w:t>There is a total of $300,000.00 of funding included in this funding opportunity. Awards are subject to availability of State of New Hampshire funds. The New Hampshire Department of Education will fund winning proposals in order ranked by score.</w:t>
      </w:r>
    </w:p>
    <w:p w:rsidR="00106A18" w:rsidRDefault="00106A18" w:rsidP="009C5FE7"/>
    <w:p w:rsidR="00106A18" w:rsidRDefault="00106A18" w:rsidP="009C5FE7"/>
    <w:p w:rsidR="00106A18" w:rsidRDefault="00106A18" w:rsidP="005662D6"/>
    <w:p w:rsidR="00106A18" w:rsidRDefault="00106A18" w:rsidP="009C5FE7"/>
    <w:p w:rsidR="00106A18" w:rsidRPr="005662D6" w:rsidRDefault="00106A18" w:rsidP="009C5FE7"/>
    <w:p w:rsidR="00106A18" w:rsidRDefault="00106A18" w:rsidP="00D52D6A"/>
    <w:p w:rsidR="00106A18" w:rsidRDefault="00106A18" w:rsidP="00D52D6A">
      <w:r>
        <w:t xml:space="preserve">           </w:t>
      </w:r>
    </w:p>
    <w:p w:rsidR="00106A18" w:rsidRDefault="00106A18" w:rsidP="00D52D6A">
      <w:r>
        <w:lastRenderedPageBreak/>
        <w:t xml:space="preserve">                                                                                                                                                </w:t>
      </w:r>
    </w:p>
    <w:p w:rsidR="00106A18" w:rsidRDefault="00106A18" w:rsidP="00A74A67">
      <w:pPr>
        <w:jc w:val="center"/>
        <w:rPr>
          <w:b/>
          <w:u w:val="single"/>
        </w:rPr>
      </w:pPr>
      <w:r>
        <w:rPr>
          <w:b/>
          <w:noProof/>
          <w:u w:val="single"/>
        </w:rPr>
        <w:drawing>
          <wp:inline distT="0" distB="0" distL="0" distR="0" wp14:anchorId="443B4C68" wp14:editId="31EF1403">
            <wp:extent cx="594360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TofEDlogo.png"/>
                    <pic:cNvPicPr/>
                  </pic:nvPicPr>
                  <pic:blipFill>
                    <a:blip r:embed="rId7">
                      <a:extLst>
                        <a:ext uri="{28A0092B-C50C-407E-A947-70E740481C1C}">
                          <a14:useLocalDpi xmlns:a14="http://schemas.microsoft.com/office/drawing/2010/main" val="0"/>
                        </a:ext>
                      </a:extLst>
                    </a:blip>
                    <a:stretch>
                      <a:fillRect/>
                    </a:stretch>
                  </pic:blipFill>
                  <pic:spPr>
                    <a:xfrm>
                      <a:off x="0" y="0"/>
                      <a:ext cx="5943600" cy="790575"/>
                    </a:xfrm>
                    <a:prstGeom prst="rect">
                      <a:avLst/>
                    </a:prstGeom>
                  </pic:spPr>
                </pic:pic>
              </a:graphicData>
            </a:graphic>
          </wp:inline>
        </w:drawing>
      </w:r>
    </w:p>
    <w:p w:rsidR="00106A18" w:rsidRDefault="00106A18" w:rsidP="00A74A67">
      <w:pPr>
        <w:jc w:val="center"/>
        <w:rPr>
          <w:b/>
          <w:u w:val="single"/>
        </w:rPr>
      </w:pPr>
    </w:p>
    <w:p w:rsidR="00106A18" w:rsidRDefault="00106A18" w:rsidP="00A74A67">
      <w:pPr>
        <w:jc w:val="center"/>
        <w:rPr>
          <w:b/>
          <w:u w:val="single"/>
        </w:rPr>
      </w:pPr>
    </w:p>
    <w:p w:rsidR="00A74A67" w:rsidRDefault="00A74A67" w:rsidP="00A74A67">
      <w:pPr>
        <w:jc w:val="center"/>
        <w:rPr>
          <w:b/>
          <w:u w:val="single"/>
        </w:rPr>
      </w:pPr>
      <w:r w:rsidRPr="00A74A67">
        <w:rPr>
          <w:b/>
          <w:u w:val="single"/>
        </w:rPr>
        <w:t>Application Template:</w:t>
      </w:r>
    </w:p>
    <w:p w:rsidR="007C20F9" w:rsidRPr="00A74A67" w:rsidRDefault="007C20F9" w:rsidP="00A74A67">
      <w:pPr>
        <w:jc w:val="center"/>
        <w:rPr>
          <w:b/>
          <w:u w:val="single"/>
        </w:rPr>
      </w:pPr>
      <w:r w:rsidRPr="00A74A67">
        <w:rPr>
          <w:b/>
          <w:u w:val="single"/>
        </w:rPr>
        <w:t>Response</w:t>
      </w:r>
      <w:r w:rsidR="00A74A67">
        <w:rPr>
          <w:b/>
          <w:u w:val="single"/>
        </w:rPr>
        <w:t xml:space="preserve"> of</w:t>
      </w:r>
      <w:r w:rsidR="005B12E6">
        <w:rPr>
          <w:b/>
          <w:u w:val="single"/>
        </w:rPr>
        <w:t xml:space="preserve"> NH LEA </w:t>
      </w:r>
      <w:r w:rsidR="00171D52">
        <w:rPr>
          <w:b/>
          <w:u w:val="single"/>
        </w:rPr>
        <w:t>or Public Charter School</w:t>
      </w:r>
    </w:p>
    <w:p w:rsidR="007C20F9" w:rsidRPr="007C20F9" w:rsidRDefault="007C20F9" w:rsidP="007C20F9">
      <w:pPr>
        <w:rPr>
          <w:b/>
        </w:rPr>
      </w:pPr>
      <w:r w:rsidRPr="007C20F9">
        <w:rPr>
          <w:b/>
        </w:rPr>
        <w:t xml:space="preserve">Section 1: Summary of Proposal </w:t>
      </w:r>
    </w:p>
    <w:p w:rsidR="007C20F9" w:rsidRDefault="007C20F9" w:rsidP="007C20F9">
      <w:pPr>
        <w:pStyle w:val="ListParagraph"/>
        <w:numPr>
          <w:ilvl w:val="0"/>
          <w:numId w:val="2"/>
        </w:numPr>
      </w:pPr>
      <w:r>
        <w:t xml:space="preserve">Provide an overview of your project. </w:t>
      </w:r>
    </w:p>
    <w:p w:rsidR="007C20F9" w:rsidRDefault="007C20F9" w:rsidP="007C20F9">
      <w:pPr>
        <w:pStyle w:val="ListParagraph"/>
      </w:pPr>
    </w:p>
    <w:p w:rsidR="007C20F9" w:rsidRDefault="007C20F9" w:rsidP="007C20F9">
      <w:pPr>
        <w:pStyle w:val="ListParagraph"/>
        <w:numPr>
          <w:ilvl w:val="0"/>
          <w:numId w:val="2"/>
        </w:numPr>
      </w:pPr>
      <w:r>
        <w:t>Explain how it a</w:t>
      </w:r>
      <w:r w:rsidR="005B12E6">
        <w:t xml:space="preserve">ddresses the absolute priority: expanding pre-engineering (including elements such as, but not limited to: design thinking, computer science, robotics, mechatronics, </w:t>
      </w:r>
      <w:r w:rsidR="00002321">
        <w:t>and career pathway planning) for elementary, middle, or high school students in district</w:t>
      </w:r>
      <w:r w:rsidR="00171D52">
        <w:t xml:space="preserve"> or school</w:t>
      </w:r>
      <w:r w:rsidR="00002321">
        <w:t>. (up to 5 points)</w:t>
      </w:r>
    </w:p>
    <w:p w:rsidR="007C20F9" w:rsidRDefault="007C20F9" w:rsidP="007C20F9">
      <w:pPr>
        <w:pStyle w:val="ListParagraph"/>
      </w:pPr>
    </w:p>
    <w:p w:rsidR="007C20F9" w:rsidRDefault="007C20F9" w:rsidP="007C20F9">
      <w:pPr>
        <w:pStyle w:val="ListParagraph"/>
        <w:numPr>
          <w:ilvl w:val="0"/>
          <w:numId w:val="2"/>
        </w:numPr>
      </w:pPr>
      <w:r>
        <w:t xml:space="preserve">If applicable, explain how it addresses </w:t>
      </w:r>
      <w:r w:rsidRPr="005001FD">
        <w:t>Competitive Preference Priority 1: Sustainabi</w:t>
      </w:r>
      <w:r w:rsidR="00002321">
        <w:t>lity of Project through District Funding</w:t>
      </w:r>
      <w:r w:rsidRPr="005001FD">
        <w:t xml:space="preserve"> Match</w:t>
      </w:r>
      <w:r w:rsidR="00810338">
        <w:t xml:space="preserve"> (</w:t>
      </w:r>
      <w:r w:rsidR="00002321">
        <w:t xml:space="preserve">5 </w:t>
      </w:r>
      <w:r>
        <w:t>points).</w:t>
      </w:r>
    </w:p>
    <w:p w:rsidR="007C20F9" w:rsidRDefault="007C20F9" w:rsidP="007C20F9">
      <w:pPr>
        <w:pStyle w:val="ListParagraph"/>
      </w:pPr>
    </w:p>
    <w:p w:rsidR="005B25E4" w:rsidRDefault="007C20F9" w:rsidP="005B25E4">
      <w:pPr>
        <w:pStyle w:val="ListParagraph"/>
        <w:numPr>
          <w:ilvl w:val="0"/>
          <w:numId w:val="2"/>
        </w:numPr>
      </w:pPr>
      <w:r>
        <w:t xml:space="preserve">If applicable, explain how it addresses </w:t>
      </w:r>
      <w:r w:rsidRPr="005001FD">
        <w:t xml:space="preserve">Competitive Preference Priority 2: </w:t>
      </w:r>
      <w:r w:rsidRPr="00CB20E5">
        <w:t>Alignment o</w:t>
      </w:r>
      <w:r w:rsidR="00002321">
        <w:t xml:space="preserve">f Project to Career and Technical Education (up to 5 </w:t>
      </w:r>
      <w:r>
        <w:t>points)</w:t>
      </w:r>
      <w:r w:rsidRPr="005001FD">
        <w:t>.</w:t>
      </w:r>
      <w:r>
        <w:t xml:space="preserve"> </w:t>
      </w:r>
    </w:p>
    <w:p w:rsidR="00A74A67" w:rsidRDefault="005B25E4" w:rsidP="00A74A67">
      <w:pPr>
        <w:rPr>
          <w:b/>
        </w:rPr>
      </w:pPr>
      <w:r w:rsidRPr="007C20F9">
        <w:rPr>
          <w:b/>
        </w:rPr>
        <w:t xml:space="preserve">Section 2: </w:t>
      </w:r>
      <w:r w:rsidR="00A74A67">
        <w:rPr>
          <w:b/>
        </w:rPr>
        <w:t xml:space="preserve">Deliverables and/or Performance Metrics </w:t>
      </w:r>
    </w:p>
    <w:p w:rsidR="007C20F9" w:rsidRDefault="007C20F9" w:rsidP="00A74A67">
      <w:pPr>
        <w:pStyle w:val="ListParagraph"/>
        <w:numPr>
          <w:ilvl w:val="0"/>
          <w:numId w:val="6"/>
        </w:numPr>
      </w:pPr>
      <w:r>
        <w:t xml:space="preserve">Explain how the activities will result in clearly defined outcomes. Such outcomes </w:t>
      </w:r>
      <w:r w:rsidR="00611D18">
        <w:t>include products and d</w:t>
      </w:r>
      <w:r>
        <w:t>eliverables (including curriculum items, assessment tools, career pathway models, personalized learning plans, websites, apps, and any other products res</w:t>
      </w:r>
      <w:r w:rsidR="00611D18">
        <w:t>ulting from the project). Describe p</w:t>
      </w:r>
      <w:r>
        <w:t>erfo</w:t>
      </w:r>
      <w:r w:rsidR="00611D18">
        <w:t>rmance m</w:t>
      </w:r>
      <w:r>
        <w:t>etrics</w:t>
      </w:r>
      <w:r w:rsidR="00611D18">
        <w:t xml:space="preserve"> and their clear connection to project implementation plan activities, including a means to measure attainment of metrics directly related to absolute priority </w:t>
      </w:r>
      <w:r w:rsidR="00002321">
        <w:t>(up to 5</w:t>
      </w:r>
      <w:r>
        <w:t xml:space="preserve"> points).</w:t>
      </w:r>
    </w:p>
    <w:p w:rsidR="00002321" w:rsidRDefault="00002321" w:rsidP="007C20F9">
      <w:pPr>
        <w:rPr>
          <w:b/>
        </w:rPr>
      </w:pPr>
    </w:p>
    <w:p w:rsidR="00002321" w:rsidRDefault="00002321" w:rsidP="007C20F9">
      <w:pPr>
        <w:rPr>
          <w:b/>
        </w:rPr>
      </w:pPr>
    </w:p>
    <w:p w:rsidR="00002321" w:rsidRDefault="00002321" w:rsidP="007C20F9">
      <w:pPr>
        <w:rPr>
          <w:b/>
        </w:rPr>
      </w:pPr>
    </w:p>
    <w:p w:rsidR="00002321" w:rsidRDefault="00002321" w:rsidP="007C20F9">
      <w:pPr>
        <w:rPr>
          <w:b/>
        </w:rPr>
      </w:pPr>
    </w:p>
    <w:p w:rsidR="00002321" w:rsidRDefault="00002321" w:rsidP="007C20F9">
      <w:pPr>
        <w:rPr>
          <w:b/>
        </w:rPr>
      </w:pPr>
    </w:p>
    <w:p w:rsidR="00002321" w:rsidRDefault="00002321" w:rsidP="007C20F9">
      <w:pPr>
        <w:rPr>
          <w:b/>
        </w:rPr>
      </w:pPr>
    </w:p>
    <w:p w:rsidR="00002321" w:rsidRDefault="00002321" w:rsidP="007C20F9">
      <w:pPr>
        <w:rPr>
          <w:b/>
        </w:rPr>
      </w:pPr>
    </w:p>
    <w:p w:rsidR="00002321" w:rsidRDefault="00002321" w:rsidP="007C20F9">
      <w:pPr>
        <w:rPr>
          <w:b/>
        </w:rPr>
      </w:pPr>
    </w:p>
    <w:p w:rsidR="00002321" w:rsidRDefault="00002321" w:rsidP="007C20F9">
      <w:pPr>
        <w:rPr>
          <w:b/>
        </w:rPr>
      </w:pPr>
    </w:p>
    <w:p w:rsidR="007C20F9" w:rsidRPr="007C20F9" w:rsidRDefault="00002321" w:rsidP="007C20F9">
      <w:pPr>
        <w:rPr>
          <w:b/>
        </w:rPr>
      </w:pPr>
      <w:r>
        <w:rPr>
          <w:b/>
        </w:rPr>
        <w:t>Section 3</w:t>
      </w:r>
      <w:r w:rsidR="007C20F9">
        <w:rPr>
          <w:b/>
        </w:rPr>
        <w:t xml:space="preserve">: </w:t>
      </w:r>
      <w:r w:rsidR="007C20F9" w:rsidRPr="007C20F9">
        <w:rPr>
          <w:b/>
        </w:rPr>
        <w:t xml:space="preserve">Budget </w:t>
      </w:r>
    </w:p>
    <w:p w:rsidR="007C20F9" w:rsidRDefault="007C20F9" w:rsidP="007C20F9">
      <w:pPr>
        <w:pStyle w:val="ListParagraph"/>
        <w:numPr>
          <w:ilvl w:val="0"/>
          <w:numId w:val="4"/>
        </w:numPr>
      </w:pPr>
      <w:r w:rsidRPr="00CB20E5">
        <w:t>Complete the following budget spreadsheet</w:t>
      </w:r>
      <w:r w:rsidRPr="005001FD">
        <w:t xml:space="preserve">. </w:t>
      </w:r>
      <w:r w:rsidRPr="00CB20E5">
        <w:t>Enter each cost</w:t>
      </w:r>
      <w:r>
        <w:t xml:space="preserve"> included in the budget as a separate line item. </w:t>
      </w:r>
      <w:r w:rsidR="00224525">
        <w:t xml:space="preserve">Each line item must include the item, cost per unit, the number of units, and the total. </w:t>
      </w:r>
      <w:r>
        <w:t>Include a rate. For example, if you are including transportation include a</w:t>
      </w:r>
      <w:r w:rsidR="00224525">
        <w:t>n estimated number of miles and the cost per mile. (</w:t>
      </w:r>
      <w:r w:rsidR="00002321">
        <w:t>5</w:t>
      </w:r>
      <w:r w:rsidR="005B25E4">
        <w:t xml:space="preserve"> points)</w:t>
      </w:r>
    </w:p>
    <w:p w:rsidR="00D641C3" w:rsidRDefault="00D641C3" w:rsidP="00D641C3">
      <w:pPr>
        <w:pStyle w:val="ListParagraph"/>
      </w:pPr>
    </w:p>
    <w:p w:rsidR="00D641C3" w:rsidRPr="00D641C3" w:rsidRDefault="00D641C3" w:rsidP="00D641C3">
      <w:pPr>
        <w:pStyle w:val="ListParagraph"/>
        <w:jc w:val="center"/>
        <w:rPr>
          <w:b/>
        </w:rPr>
      </w:pPr>
      <w:r>
        <w:rPr>
          <w:b/>
        </w:rPr>
        <w:t>Budget Template</w:t>
      </w:r>
    </w:p>
    <w:bookmarkStart w:id="1" w:name="_MON_1694255150"/>
    <w:bookmarkEnd w:id="1"/>
    <w:p w:rsidR="00895C2A" w:rsidRDefault="00995B76">
      <w:r>
        <w:object w:dxaOrig="9312" w:dyaOrig="3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174.7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Excel.Sheet.8" ShapeID="_x0000_i1025" DrawAspect="Content" ObjectID="_1742103697" r:id="rId9"/>
        </w:object>
      </w:r>
    </w:p>
    <w:p w:rsidR="008B2730" w:rsidRDefault="008B2730"/>
    <w:p w:rsidR="00895C2A" w:rsidRDefault="00895C2A"/>
    <w:p w:rsidR="00895C2A" w:rsidRDefault="00895C2A"/>
    <w:p w:rsidR="00895C2A" w:rsidRDefault="00895C2A"/>
    <w:p w:rsidR="00895C2A" w:rsidRDefault="00895C2A"/>
    <w:p w:rsidR="00895C2A" w:rsidRDefault="00895C2A"/>
    <w:p w:rsidR="00895C2A" w:rsidRDefault="00895C2A"/>
    <w:p w:rsidR="00895C2A" w:rsidRDefault="00895C2A"/>
    <w:p w:rsidR="00895C2A" w:rsidRDefault="00895C2A"/>
    <w:p w:rsidR="00895C2A" w:rsidRDefault="00895C2A"/>
    <w:p w:rsidR="00A92D24" w:rsidRDefault="00A92D24" w:rsidP="00895C2A">
      <w:pPr>
        <w:jc w:val="center"/>
        <w:rPr>
          <w:b/>
        </w:rPr>
      </w:pPr>
    </w:p>
    <w:p w:rsidR="00A92D24" w:rsidRDefault="00A92D24" w:rsidP="00895C2A">
      <w:pPr>
        <w:jc w:val="center"/>
        <w:rPr>
          <w:b/>
        </w:rPr>
      </w:pPr>
    </w:p>
    <w:p w:rsidR="00895C2A" w:rsidRDefault="00895C2A" w:rsidP="00895C2A">
      <w:pPr>
        <w:jc w:val="center"/>
        <w:rPr>
          <w:b/>
        </w:rPr>
      </w:pPr>
      <w:r>
        <w:rPr>
          <w:b/>
        </w:rPr>
        <w:lastRenderedPageBreak/>
        <w:t>Scoring Rubric</w:t>
      </w:r>
    </w:p>
    <w:tbl>
      <w:tblPr>
        <w:tblStyle w:val="TableGrid"/>
        <w:tblW w:w="9715" w:type="dxa"/>
        <w:tblLook w:val="04A0" w:firstRow="1" w:lastRow="0" w:firstColumn="1" w:lastColumn="0" w:noHBand="0" w:noVBand="1"/>
      </w:tblPr>
      <w:tblGrid>
        <w:gridCol w:w="1239"/>
        <w:gridCol w:w="1431"/>
        <w:gridCol w:w="1431"/>
        <w:gridCol w:w="1431"/>
        <w:gridCol w:w="1431"/>
        <w:gridCol w:w="1219"/>
        <w:gridCol w:w="1533"/>
      </w:tblGrid>
      <w:tr w:rsidR="00116361" w:rsidTr="009845CA">
        <w:tc>
          <w:tcPr>
            <w:tcW w:w="1205" w:type="dxa"/>
          </w:tcPr>
          <w:p w:rsidR="00BB2522" w:rsidRDefault="00BB2522" w:rsidP="00895C2A">
            <w:r>
              <w:t>Domain</w:t>
            </w:r>
          </w:p>
        </w:tc>
        <w:tc>
          <w:tcPr>
            <w:tcW w:w="1391" w:type="dxa"/>
          </w:tcPr>
          <w:p w:rsidR="00BB2522" w:rsidRDefault="00BB2522" w:rsidP="00895C2A">
            <w:r>
              <w:t>5</w:t>
            </w:r>
          </w:p>
        </w:tc>
        <w:tc>
          <w:tcPr>
            <w:tcW w:w="1392" w:type="dxa"/>
          </w:tcPr>
          <w:p w:rsidR="00BB2522" w:rsidRDefault="00BB2522" w:rsidP="00895C2A">
            <w:r>
              <w:t>4</w:t>
            </w:r>
          </w:p>
        </w:tc>
        <w:tc>
          <w:tcPr>
            <w:tcW w:w="1392" w:type="dxa"/>
          </w:tcPr>
          <w:p w:rsidR="00BB2522" w:rsidRDefault="00BB2522" w:rsidP="00895C2A">
            <w:r>
              <w:t>3</w:t>
            </w:r>
          </w:p>
        </w:tc>
        <w:tc>
          <w:tcPr>
            <w:tcW w:w="1392" w:type="dxa"/>
          </w:tcPr>
          <w:p w:rsidR="00BB2522" w:rsidRDefault="00BB2522" w:rsidP="00895C2A">
            <w:r>
              <w:t>2</w:t>
            </w:r>
          </w:p>
        </w:tc>
        <w:tc>
          <w:tcPr>
            <w:tcW w:w="1186" w:type="dxa"/>
          </w:tcPr>
          <w:p w:rsidR="00BB2522" w:rsidRDefault="00BB2522" w:rsidP="00895C2A">
            <w:r>
              <w:t>1</w:t>
            </w:r>
          </w:p>
        </w:tc>
        <w:tc>
          <w:tcPr>
            <w:tcW w:w="1757" w:type="dxa"/>
          </w:tcPr>
          <w:p w:rsidR="00BB2522" w:rsidRDefault="00BB2522" w:rsidP="00895C2A">
            <w:r>
              <w:t>0</w:t>
            </w:r>
          </w:p>
        </w:tc>
      </w:tr>
      <w:tr w:rsidR="00116361" w:rsidTr="009845CA">
        <w:tc>
          <w:tcPr>
            <w:tcW w:w="1205" w:type="dxa"/>
          </w:tcPr>
          <w:p w:rsidR="00BB2522" w:rsidRDefault="00BB2522" w:rsidP="00895C2A">
            <w:r>
              <w:t>Summary</w:t>
            </w:r>
          </w:p>
        </w:tc>
        <w:tc>
          <w:tcPr>
            <w:tcW w:w="1391" w:type="dxa"/>
          </w:tcPr>
          <w:p w:rsidR="00BB2522" w:rsidRDefault="00BB2522" w:rsidP="00895C2A">
            <w:r>
              <w:t>Detailed description of activities, includes details about students participating and clearly states how participation will expan</w:t>
            </w:r>
            <w:r w:rsidR="00FF54B3">
              <w:t xml:space="preserve">d exposure to and </w:t>
            </w:r>
            <w:r>
              <w:t xml:space="preserve">participation in pre-engineering </w:t>
            </w:r>
          </w:p>
        </w:tc>
        <w:tc>
          <w:tcPr>
            <w:tcW w:w="1392" w:type="dxa"/>
          </w:tcPr>
          <w:p w:rsidR="00BB2522" w:rsidRDefault="00FF54B3" w:rsidP="00895C2A">
            <w:r>
              <w:t xml:space="preserve">Clear </w:t>
            </w:r>
            <w:r w:rsidR="00BB2522">
              <w:t>Description of activities, includes details about students participating and states how participation will expan</w:t>
            </w:r>
            <w:r>
              <w:t xml:space="preserve">d exposure to and </w:t>
            </w:r>
            <w:r w:rsidR="00BB2522">
              <w:t>participation in pre-engineering</w:t>
            </w:r>
          </w:p>
        </w:tc>
        <w:tc>
          <w:tcPr>
            <w:tcW w:w="1392" w:type="dxa"/>
          </w:tcPr>
          <w:p w:rsidR="00BB2522" w:rsidRDefault="00BB2522" w:rsidP="00895C2A">
            <w:r>
              <w:t>D</w:t>
            </w:r>
            <w:r w:rsidR="00FF54B3">
              <w:t xml:space="preserve">escription of activities, and </w:t>
            </w:r>
            <w:r>
              <w:t>states how participation will expan</w:t>
            </w:r>
            <w:r w:rsidR="00FF54B3">
              <w:t xml:space="preserve">d exposure to and </w:t>
            </w:r>
            <w:r>
              <w:t>participation in pre-engineering</w:t>
            </w:r>
          </w:p>
        </w:tc>
        <w:tc>
          <w:tcPr>
            <w:tcW w:w="1392" w:type="dxa"/>
          </w:tcPr>
          <w:p w:rsidR="00BB2522" w:rsidRDefault="00FF54B3" w:rsidP="00895C2A">
            <w:r>
              <w:t>Description of activities, and states how participation will expand exposure to or participation in pre-engineering</w:t>
            </w:r>
          </w:p>
        </w:tc>
        <w:tc>
          <w:tcPr>
            <w:tcW w:w="1186" w:type="dxa"/>
          </w:tcPr>
          <w:p w:rsidR="00BB2522" w:rsidRDefault="00FF54B3" w:rsidP="00895C2A">
            <w:r>
              <w:t>Vague description of activities</w:t>
            </w:r>
          </w:p>
        </w:tc>
        <w:tc>
          <w:tcPr>
            <w:tcW w:w="1757" w:type="dxa"/>
          </w:tcPr>
          <w:p w:rsidR="00BB2522" w:rsidRDefault="00FF54B3" w:rsidP="00895C2A">
            <w:r>
              <w:t>No summary provided</w:t>
            </w:r>
          </w:p>
        </w:tc>
      </w:tr>
      <w:tr w:rsidR="00116361" w:rsidTr="009845CA">
        <w:tc>
          <w:tcPr>
            <w:tcW w:w="1205" w:type="dxa"/>
          </w:tcPr>
          <w:p w:rsidR="00BB2522" w:rsidRDefault="00BB2522" w:rsidP="00895C2A">
            <w:r>
              <w:t>Local Match</w:t>
            </w:r>
          </w:p>
        </w:tc>
        <w:tc>
          <w:tcPr>
            <w:tcW w:w="1391" w:type="dxa"/>
          </w:tcPr>
          <w:p w:rsidR="00BB2522" w:rsidRDefault="00FF54B3" w:rsidP="00895C2A">
            <w:r>
              <w:t>All State of NH Funds are 100% matched with local funds</w:t>
            </w:r>
          </w:p>
        </w:tc>
        <w:tc>
          <w:tcPr>
            <w:tcW w:w="1392" w:type="dxa"/>
          </w:tcPr>
          <w:p w:rsidR="00BB2522" w:rsidRDefault="00F3457A" w:rsidP="00895C2A">
            <w:r>
              <w:t>N/A</w:t>
            </w:r>
          </w:p>
        </w:tc>
        <w:tc>
          <w:tcPr>
            <w:tcW w:w="1392" w:type="dxa"/>
          </w:tcPr>
          <w:p w:rsidR="00BB2522" w:rsidRDefault="00F3457A" w:rsidP="00895C2A">
            <w:r>
              <w:t>N/A</w:t>
            </w:r>
          </w:p>
        </w:tc>
        <w:tc>
          <w:tcPr>
            <w:tcW w:w="1392" w:type="dxa"/>
          </w:tcPr>
          <w:p w:rsidR="00BB2522" w:rsidRDefault="00F3457A" w:rsidP="00895C2A">
            <w:r>
              <w:t>N/A</w:t>
            </w:r>
          </w:p>
        </w:tc>
        <w:tc>
          <w:tcPr>
            <w:tcW w:w="1186" w:type="dxa"/>
          </w:tcPr>
          <w:p w:rsidR="00BB2522" w:rsidRDefault="00F3457A" w:rsidP="00895C2A">
            <w:r>
              <w:t>N/A</w:t>
            </w:r>
          </w:p>
        </w:tc>
        <w:tc>
          <w:tcPr>
            <w:tcW w:w="1757" w:type="dxa"/>
          </w:tcPr>
          <w:p w:rsidR="00BB2522" w:rsidRDefault="009845CA" w:rsidP="00895C2A">
            <w:r>
              <w:t xml:space="preserve">No </w:t>
            </w:r>
            <w:r w:rsidR="00F3457A">
              <w:t>State of NH Funds matched with local funds</w:t>
            </w:r>
          </w:p>
        </w:tc>
      </w:tr>
      <w:tr w:rsidR="00116361" w:rsidTr="009845CA">
        <w:tc>
          <w:tcPr>
            <w:tcW w:w="1205" w:type="dxa"/>
          </w:tcPr>
          <w:p w:rsidR="00BB2522" w:rsidRDefault="00BB2522" w:rsidP="00895C2A">
            <w:r>
              <w:t>CTE Connection</w:t>
            </w:r>
          </w:p>
        </w:tc>
        <w:tc>
          <w:tcPr>
            <w:tcW w:w="1391" w:type="dxa"/>
          </w:tcPr>
          <w:p w:rsidR="00BB2522" w:rsidRDefault="002307FD" w:rsidP="00895C2A">
            <w:r>
              <w:t>Detailed plan to offer multiple and sustained activities and collaborative opportunities for students with regional CTE center</w:t>
            </w:r>
          </w:p>
        </w:tc>
        <w:tc>
          <w:tcPr>
            <w:tcW w:w="1392" w:type="dxa"/>
          </w:tcPr>
          <w:p w:rsidR="00BB2522" w:rsidRDefault="002307FD" w:rsidP="00895C2A">
            <w:r>
              <w:t>Plan to offer multiple and sustained activities and collaborative opportunities for students with regional CTE center</w:t>
            </w:r>
          </w:p>
        </w:tc>
        <w:tc>
          <w:tcPr>
            <w:tcW w:w="1392" w:type="dxa"/>
          </w:tcPr>
          <w:p w:rsidR="00BB2522" w:rsidRDefault="002307FD" w:rsidP="00895C2A">
            <w:r>
              <w:t>Plan to offer multiple  activities and collaborative opportunities for students with regional CTE center</w:t>
            </w:r>
          </w:p>
        </w:tc>
        <w:tc>
          <w:tcPr>
            <w:tcW w:w="1392" w:type="dxa"/>
          </w:tcPr>
          <w:p w:rsidR="00BB2522" w:rsidRDefault="002307FD" w:rsidP="00895C2A">
            <w:r>
              <w:t>Plan to offer multiple activities and opportunities for students with regional CTE center</w:t>
            </w:r>
          </w:p>
        </w:tc>
        <w:tc>
          <w:tcPr>
            <w:tcW w:w="1186" w:type="dxa"/>
          </w:tcPr>
          <w:p w:rsidR="00BB2522" w:rsidRDefault="002307FD" w:rsidP="00895C2A">
            <w:r>
              <w:t xml:space="preserve">Plan to offer </w:t>
            </w:r>
            <w:r w:rsidR="00116361">
              <w:t xml:space="preserve">single activity for </w:t>
            </w:r>
            <w:r>
              <w:t>students with regional CTE center</w:t>
            </w:r>
          </w:p>
        </w:tc>
        <w:tc>
          <w:tcPr>
            <w:tcW w:w="1757" w:type="dxa"/>
          </w:tcPr>
          <w:p w:rsidR="00BB2522" w:rsidRDefault="009845CA" w:rsidP="00895C2A">
            <w:r>
              <w:t>No activities or collaborative opportunities with regional CTE center</w:t>
            </w:r>
          </w:p>
        </w:tc>
      </w:tr>
      <w:tr w:rsidR="00116361" w:rsidTr="009845CA">
        <w:tc>
          <w:tcPr>
            <w:tcW w:w="1205" w:type="dxa"/>
          </w:tcPr>
          <w:p w:rsidR="00BB2522" w:rsidRDefault="00BB2522" w:rsidP="00895C2A">
            <w:r>
              <w:t>Metrics</w:t>
            </w:r>
          </w:p>
        </w:tc>
        <w:tc>
          <w:tcPr>
            <w:tcW w:w="1391" w:type="dxa"/>
          </w:tcPr>
          <w:p w:rsidR="00BB2522" w:rsidRDefault="00F6268F" w:rsidP="00895C2A">
            <w:r>
              <w:t>Clear theory of action connected to metrics to determine success of project</w:t>
            </w:r>
          </w:p>
        </w:tc>
        <w:tc>
          <w:tcPr>
            <w:tcW w:w="1392" w:type="dxa"/>
          </w:tcPr>
          <w:p w:rsidR="00BB2522" w:rsidRDefault="00F6268F" w:rsidP="00895C2A">
            <w:r>
              <w:t>Metrics directly connect activities to success of project, some details unclear</w:t>
            </w:r>
          </w:p>
        </w:tc>
        <w:tc>
          <w:tcPr>
            <w:tcW w:w="1392" w:type="dxa"/>
          </w:tcPr>
          <w:p w:rsidR="00BB2522" w:rsidRDefault="00F6268F" w:rsidP="00895C2A">
            <w:r>
              <w:t>Metrics connect activities to success of project, some details unclear</w:t>
            </w:r>
          </w:p>
        </w:tc>
        <w:tc>
          <w:tcPr>
            <w:tcW w:w="1392" w:type="dxa"/>
          </w:tcPr>
          <w:p w:rsidR="00BB2522" w:rsidRDefault="00F6268F" w:rsidP="00895C2A">
            <w:r>
              <w:t>Metrics  connect activities to success of project, many details unclear</w:t>
            </w:r>
          </w:p>
        </w:tc>
        <w:tc>
          <w:tcPr>
            <w:tcW w:w="1186" w:type="dxa"/>
          </w:tcPr>
          <w:p w:rsidR="00BB2522" w:rsidRDefault="00A92D24" w:rsidP="00895C2A">
            <w:r>
              <w:t>Metrics stated, no clear connection to activities</w:t>
            </w:r>
          </w:p>
        </w:tc>
        <w:tc>
          <w:tcPr>
            <w:tcW w:w="1757" w:type="dxa"/>
          </w:tcPr>
          <w:p w:rsidR="00BB2522" w:rsidRDefault="00A92D24" w:rsidP="00895C2A">
            <w:r>
              <w:t>No Metrics included</w:t>
            </w:r>
          </w:p>
        </w:tc>
      </w:tr>
      <w:tr w:rsidR="00116361" w:rsidTr="009845CA">
        <w:tc>
          <w:tcPr>
            <w:tcW w:w="1205" w:type="dxa"/>
          </w:tcPr>
          <w:p w:rsidR="00BB2522" w:rsidRDefault="00BB2522" w:rsidP="00895C2A">
            <w:r>
              <w:t>Budget</w:t>
            </w:r>
          </w:p>
        </w:tc>
        <w:tc>
          <w:tcPr>
            <w:tcW w:w="1391" w:type="dxa"/>
          </w:tcPr>
          <w:p w:rsidR="00BB2522" w:rsidRDefault="00541CBE" w:rsidP="00895C2A">
            <w:r>
              <w:t>Each cost in budget has all required elements</w:t>
            </w:r>
          </w:p>
        </w:tc>
        <w:tc>
          <w:tcPr>
            <w:tcW w:w="1392" w:type="dxa"/>
          </w:tcPr>
          <w:p w:rsidR="00BB2522" w:rsidRDefault="00541CBE" w:rsidP="00895C2A">
            <w:r>
              <w:t>N/A</w:t>
            </w:r>
          </w:p>
        </w:tc>
        <w:tc>
          <w:tcPr>
            <w:tcW w:w="1392" w:type="dxa"/>
          </w:tcPr>
          <w:p w:rsidR="00BB2522" w:rsidRDefault="00541CBE" w:rsidP="00895C2A">
            <w:r>
              <w:t>N/A</w:t>
            </w:r>
          </w:p>
        </w:tc>
        <w:tc>
          <w:tcPr>
            <w:tcW w:w="1392" w:type="dxa"/>
          </w:tcPr>
          <w:p w:rsidR="00BB2522" w:rsidRDefault="00541CBE" w:rsidP="00895C2A">
            <w:r>
              <w:t>N/A</w:t>
            </w:r>
          </w:p>
        </w:tc>
        <w:tc>
          <w:tcPr>
            <w:tcW w:w="1186" w:type="dxa"/>
          </w:tcPr>
          <w:p w:rsidR="00BB2522" w:rsidRDefault="00541CBE" w:rsidP="00895C2A">
            <w:r>
              <w:t>N/A</w:t>
            </w:r>
          </w:p>
        </w:tc>
        <w:tc>
          <w:tcPr>
            <w:tcW w:w="1757" w:type="dxa"/>
          </w:tcPr>
          <w:p w:rsidR="00BB2522" w:rsidRDefault="00541CBE" w:rsidP="00895C2A">
            <w:r>
              <w:t>Budget lines are missing, or missing required elements</w:t>
            </w:r>
          </w:p>
        </w:tc>
      </w:tr>
    </w:tbl>
    <w:p w:rsidR="00895C2A" w:rsidRPr="00895C2A" w:rsidRDefault="00681A74" w:rsidP="00681A74">
      <w:pPr>
        <w:jc w:val="center"/>
      </w:pPr>
      <w:r>
        <w:lastRenderedPageBreak/>
        <w:t>This Page Left Blank for Notes or Appendices</w:t>
      </w:r>
    </w:p>
    <w:sectPr w:rsidR="00895C2A" w:rsidRPr="00895C2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AA3" w:rsidRDefault="00AC1AA3" w:rsidP="00A74A67">
      <w:pPr>
        <w:spacing w:after="0" w:line="240" w:lineRule="auto"/>
      </w:pPr>
      <w:r>
        <w:separator/>
      </w:r>
    </w:p>
  </w:endnote>
  <w:endnote w:type="continuationSeparator" w:id="0">
    <w:p w:rsidR="00AC1AA3" w:rsidRDefault="00AC1AA3" w:rsidP="00A7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623204"/>
      <w:docPartObj>
        <w:docPartGallery w:val="Page Numbers (Bottom of Page)"/>
        <w:docPartUnique/>
      </w:docPartObj>
    </w:sdtPr>
    <w:sdtEndPr>
      <w:rPr>
        <w:color w:val="7F7F7F" w:themeColor="background1" w:themeShade="7F"/>
        <w:spacing w:val="60"/>
      </w:rPr>
    </w:sdtEndPr>
    <w:sdtContent>
      <w:p w:rsidR="006476AE" w:rsidRDefault="006476A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E21C0" w:rsidRPr="004E21C0">
          <w:rPr>
            <w:b/>
            <w:bCs/>
            <w:noProof/>
          </w:rPr>
          <w:t>6</w:t>
        </w:r>
        <w:r>
          <w:rPr>
            <w:b/>
            <w:bCs/>
            <w:noProof/>
          </w:rPr>
          <w:fldChar w:fldCharType="end"/>
        </w:r>
        <w:r>
          <w:rPr>
            <w:b/>
            <w:bCs/>
          </w:rPr>
          <w:t xml:space="preserve"> | </w:t>
        </w:r>
        <w:r>
          <w:rPr>
            <w:color w:val="7F7F7F" w:themeColor="background1" w:themeShade="7F"/>
            <w:spacing w:val="60"/>
          </w:rPr>
          <w:t>Page</w:t>
        </w:r>
      </w:p>
    </w:sdtContent>
  </w:sdt>
  <w:p w:rsidR="006476AE" w:rsidRDefault="00647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AA3" w:rsidRDefault="00AC1AA3" w:rsidP="00A74A67">
      <w:pPr>
        <w:spacing w:after="0" w:line="240" w:lineRule="auto"/>
      </w:pPr>
      <w:r>
        <w:separator/>
      </w:r>
    </w:p>
  </w:footnote>
  <w:footnote w:type="continuationSeparator" w:id="0">
    <w:p w:rsidR="00AC1AA3" w:rsidRDefault="00AC1AA3" w:rsidP="00A7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F7A" w:rsidRDefault="00225F7A">
    <w:pPr>
      <w:pStyle w:val="Header"/>
    </w:pPr>
    <w:r>
      <w:t>NHED BCD RFA-002 23</w:t>
    </w:r>
  </w:p>
  <w:p w:rsidR="00A74A67" w:rsidRDefault="00A74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C71"/>
    <w:multiLevelType w:val="hybridMultilevel"/>
    <w:tmpl w:val="965A7B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C2318"/>
    <w:multiLevelType w:val="hybridMultilevel"/>
    <w:tmpl w:val="AF74813A"/>
    <w:lvl w:ilvl="0" w:tplc="1D408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157A6"/>
    <w:multiLevelType w:val="hybridMultilevel"/>
    <w:tmpl w:val="F6548B08"/>
    <w:lvl w:ilvl="0" w:tplc="3AD8C2B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8419D0"/>
    <w:multiLevelType w:val="hybridMultilevel"/>
    <w:tmpl w:val="F6548B08"/>
    <w:lvl w:ilvl="0" w:tplc="3AD8C2B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AA5AF8"/>
    <w:multiLevelType w:val="hybridMultilevel"/>
    <w:tmpl w:val="EA4CF3C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3E06CF"/>
    <w:multiLevelType w:val="hybridMultilevel"/>
    <w:tmpl w:val="EA4CF3C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260364"/>
    <w:multiLevelType w:val="hybridMultilevel"/>
    <w:tmpl w:val="EA4CF3C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7515FF"/>
    <w:multiLevelType w:val="hybridMultilevel"/>
    <w:tmpl w:val="ED068552"/>
    <w:lvl w:ilvl="0" w:tplc="03B483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6107A5"/>
    <w:multiLevelType w:val="hybridMultilevel"/>
    <w:tmpl w:val="EA4CF3C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9567A5"/>
    <w:multiLevelType w:val="hybridMultilevel"/>
    <w:tmpl w:val="BB3C8F16"/>
    <w:lvl w:ilvl="0" w:tplc="03B4830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8"/>
  </w:num>
  <w:num w:numId="3">
    <w:abstractNumId w:val="3"/>
  </w:num>
  <w:num w:numId="4">
    <w:abstractNumId w:val="2"/>
  </w:num>
  <w:num w:numId="5">
    <w:abstractNumId w:val="5"/>
  </w:num>
  <w:num w:numId="6">
    <w:abstractNumId w:val="6"/>
  </w:num>
  <w:num w:numId="7">
    <w:abstractNumId w:val="4"/>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0F9"/>
    <w:rsid w:val="00002321"/>
    <w:rsid w:val="00010B91"/>
    <w:rsid w:val="00056105"/>
    <w:rsid w:val="000E1178"/>
    <w:rsid w:val="00106A18"/>
    <w:rsid w:val="00116361"/>
    <w:rsid w:val="00130077"/>
    <w:rsid w:val="0013302F"/>
    <w:rsid w:val="001670F1"/>
    <w:rsid w:val="00171D52"/>
    <w:rsid w:val="001A7ADD"/>
    <w:rsid w:val="00224525"/>
    <w:rsid w:val="00225F7A"/>
    <w:rsid w:val="002307FD"/>
    <w:rsid w:val="003255D9"/>
    <w:rsid w:val="003D1495"/>
    <w:rsid w:val="004D7676"/>
    <w:rsid w:val="004E21C0"/>
    <w:rsid w:val="00541CBE"/>
    <w:rsid w:val="005B12E6"/>
    <w:rsid w:val="005B25E4"/>
    <w:rsid w:val="00611D18"/>
    <w:rsid w:val="006476AE"/>
    <w:rsid w:val="00681A74"/>
    <w:rsid w:val="0076715D"/>
    <w:rsid w:val="007C20F9"/>
    <w:rsid w:val="007E00DF"/>
    <w:rsid w:val="00810338"/>
    <w:rsid w:val="00895C2A"/>
    <w:rsid w:val="008B0FD6"/>
    <w:rsid w:val="008B2730"/>
    <w:rsid w:val="008D2DBA"/>
    <w:rsid w:val="009845CA"/>
    <w:rsid w:val="00995B76"/>
    <w:rsid w:val="009969BA"/>
    <w:rsid w:val="009A0D42"/>
    <w:rsid w:val="00A55E1B"/>
    <w:rsid w:val="00A62187"/>
    <w:rsid w:val="00A74A67"/>
    <w:rsid w:val="00A92D24"/>
    <w:rsid w:val="00AA3AE7"/>
    <w:rsid w:val="00AC1AA3"/>
    <w:rsid w:val="00BA7310"/>
    <w:rsid w:val="00BB2522"/>
    <w:rsid w:val="00BF6387"/>
    <w:rsid w:val="00C02A83"/>
    <w:rsid w:val="00C6507D"/>
    <w:rsid w:val="00D07C5C"/>
    <w:rsid w:val="00D641C3"/>
    <w:rsid w:val="00E45E62"/>
    <w:rsid w:val="00F3457A"/>
    <w:rsid w:val="00F6268F"/>
    <w:rsid w:val="00FF5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78DAB"/>
  <w15:chartTrackingRefBased/>
  <w15:docId w15:val="{9F9D7462-F753-4E92-A8A1-15AAE5BC0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0F9"/>
    <w:pPr>
      <w:ind w:left="720"/>
      <w:contextualSpacing/>
    </w:pPr>
  </w:style>
  <w:style w:type="character" w:styleId="Hyperlink">
    <w:name w:val="Hyperlink"/>
    <w:basedOn w:val="DefaultParagraphFont"/>
    <w:uiPriority w:val="99"/>
    <w:unhideWhenUsed/>
    <w:rsid w:val="007C20F9"/>
    <w:rPr>
      <w:color w:val="0563C1" w:themeColor="hyperlink"/>
      <w:u w:val="single"/>
    </w:rPr>
  </w:style>
  <w:style w:type="paragraph" w:styleId="NoSpacing">
    <w:name w:val="No Spacing"/>
    <w:uiPriority w:val="1"/>
    <w:qFormat/>
    <w:rsid w:val="007C20F9"/>
    <w:pPr>
      <w:spacing w:after="0" w:line="240" w:lineRule="auto"/>
    </w:pPr>
  </w:style>
  <w:style w:type="table" w:styleId="TableGrid">
    <w:name w:val="Table Grid"/>
    <w:basedOn w:val="TableNormal"/>
    <w:uiPriority w:val="39"/>
    <w:rsid w:val="00A74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4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A67"/>
  </w:style>
  <w:style w:type="paragraph" w:styleId="Footer">
    <w:name w:val="footer"/>
    <w:basedOn w:val="Normal"/>
    <w:link w:val="FooterChar"/>
    <w:uiPriority w:val="99"/>
    <w:unhideWhenUsed/>
    <w:rsid w:val="00A74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Microsoft_Excel_97-2003_Worksheet.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 Jeffry</dc:creator>
  <cp:keywords/>
  <dc:description/>
  <cp:lastModifiedBy>Beard, Jeffry</cp:lastModifiedBy>
  <cp:revision>3</cp:revision>
  <dcterms:created xsi:type="dcterms:W3CDTF">2023-04-04T12:53:00Z</dcterms:created>
  <dcterms:modified xsi:type="dcterms:W3CDTF">2023-04-04T12:55:00Z</dcterms:modified>
</cp:coreProperties>
</file>