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8" w:type="dxa"/>
        <w:tblCellMar>
          <w:left w:w="0" w:type="dxa"/>
          <w:right w:w="0" w:type="dxa"/>
        </w:tblCellMar>
        <w:tblLook w:val="04A0" w:firstRow="1" w:lastRow="0" w:firstColumn="1" w:lastColumn="0" w:noHBand="0" w:noVBand="1"/>
      </w:tblPr>
      <w:tblGrid>
        <w:gridCol w:w="222"/>
        <w:gridCol w:w="11214"/>
        <w:gridCol w:w="222"/>
      </w:tblGrid>
      <w:tr w:rsidR="00616068" w14:paraId="6C614E03" w14:textId="77777777" w:rsidTr="00616068">
        <w:tc>
          <w:tcPr>
            <w:tcW w:w="3780" w:type="dxa"/>
            <w:tcMar>
              <w:top w:w="0" w:type="dxa"/>
              <w:left w:w="108" w:type="dxa"/>
              <w:bottom w:w="0" w:type="dxa"/>
              <w:right w:w="108" w:type="dxa"/>
            </w:tcMar>
          </w:tcPr>
          <w:p w14:paraId="3472DF67" w14:textId="77777777" w:rsidR="00616068" w:rsidRDefault="00616068">
            <w:pPr>
              <w:jc w:val="center"/>
              <w:rPr>
                <w:sz w:val="24"/>
                <w:szCs w:val="24"/>
              </w:rPr>
            </w:pPr>
          </w:p>
        </w:tc>
        <w:tc>
          <w:tcPr>
            <w:tcW w:w="2790" w:type="dxa"/>
            <w:tcMar>
              <w:top w:w="0" w:type="dxa"/>
              <w:left w:w="108" w:type="dxa"/>
              <w:bottom w:w="0" w:type="dxa"/>
              <w:right w:w="108" w:type="dxa"/>
            </w:tcMar>
          </w:tcPr>
          <w:tbl>
            <w:tblPr>
              <w:tblW w:w="10998" w:type="dxa"/>
              <w:tblLook w:val="04A0" w:firstRow="1" w:lastRow="0" w:firstColumn="1" w:lastColumn="0" w:noHBand="0" w:noVBand="1"/>
            </w:tblPr>
            <w:tblGrid>
              <w:gridCol w:w="2538"/>
              <w:gridCol w:w="5130"/>
              <w:gridCol w:w="3330"/>
            </w:tblGrid>
            <w:tr w:rsidR="00563CAE" w:rsidRPr="00A82ABE" w14:paraId="57668A6A" w14:textId="77777777" w:rsidTr="008E6463">
              <w:trPr>
                <w:trHeight w:val="1908"/>
              </w:trPr>
              <w:tc>
                <w:tcPr>
                  <w:tcW w:w="2538" w:type="dxa"/>
                  <w:shd w:val="clear" w:color="auto" w:fill="auto"/>
                </w:tcPr>
                <w:p w14:paraId="0F9244C8" w14:textId="77777777" w:rsidR="00563CAE" w:rsidRPr="00A82ABE" w:rsidRDefault="00563CAE" w:rsidP="00563CAE">
                  <w:pPr>
                    <w:rPr>
                      <w:color w:val="806000"/>
                    </w:rPr>
                  </w:pPr>
                  <w:r w:rsidRPr="00A82ABE">
                    <w:rPr>
                      <w:color w:val="806000"/>
                    </w:rPr>
                    <w:tab/>
                  </w:r>
                </w:p>
                <w:p w14:paraId="79657628" w14:textId="77777777" w:rsidR="00563CAE" w:rsidRPr="00A82ABE" w:rsidRDefault="00563CAE" w:rsidP="00563CAE">
                  <w:pPr>
                    <w:rPr>
                      <w:color w:val="806000"/>
                    </w:rPr>
                  </w:pPr>
                  <w:r w:rsidRPr="00A82ABE">
                    <w:rPr>
                      <w:color w:val="806000"/>
                    </w:rPr>
                    <w:tab/>
                  </w:r>
                </w:p>
                <w:p w14:paraId="4472E400" w14:textId="5F406F5C" w:rsidR="00563CAE" w:rsidRPr="00CC6E14" w:rsidRDefault="001D34F7" w:rsidP="001D34F7">
                  <w:pPr>
                    <w:rPr>
                      <w:rFonts w:asciiTheme="minorHAnsi" w:hAnsiTheme="minorHAnsi" w:cstheme="minorHAnsi"/>
                      <w:b/>
                      <w:bCs/>
                      <w:snapToGrid w:val="0"/>
                      <w:sz w:val="24"/>
                      <w:szCs w:val="24"/>
                    </w:rPr>
                  </w:pPr>
                  <w:r>
                    <w:rPr>
                      <w:rFonts w:asciiTheme="minorHAnsi" w:hAnsiTheme="minorHAnsi" w:cstheme="minorHAnsi"/>
                      <w:b/>
                      <w:sz w:val="24"/>
                      <w:szCs w:val="24"/>
                    </w:rPr>
                    <w:t xml:space="preserve">     </w:t>
                  </w:r>
                  <w:r w:rsidR="00563CAE" w:rsidRPr="00CC6E14">
                    <w:rPr>
                      <w:rFonts w:asciiTheme="minorHAnsi" w:hAnsiTheme="minorHAnsi" w:cstheme="minorHAnsi"/>
                      <w:b/>
                      <w:sz w:val="24"/>
                      <w:szCs w:val="24"/>
                    </w:rPr>
                    <w:t>Frank Edelblut</w:t>
                  </w:r>
                </w:p>
                <w:p w14:paraId="06A1BD6E" w14:textId="33D4EFA4" w:rsidR="00563CAE" w:rsidRPr="00CC6E14" w:rsidRDefault="00563CAE" w:rsidP="001D34F7">
                  <w:pPr>
                    <w:tabs>
                      <w:tab w:val="left" w:pos="-720"/>
                    </w:tabs>
                    <w:spacing w:line="215" w:lineRule="auto"/>
                    <w:ind w:left="285"/>
                    <w:rPr>
                      <w:rFonts w:asciiTheme="minorHAnsi" w:hAnsiTheme="minorHAnsi" w:cstheme="minorHAnsi"/>
                    </w:rPr>
                  </w:pPr>
                  <w:r w:rsidRPr="00CC6E14">
                    <w:rPr>
                      <w:rFonts w:asciiTheme="minorHAnsi" w:hAnsiTheme="minorHAnsi" w:cstheme="minorHAnsi"/>
                    </w:rPr>
                    <w:t>Commissioner</w:t>
                  </w:r>
                </w:p>
                <w:p w14:paraId="05ECC7E2" w14:textId="77777777" w:rsidR="00563CAE" w:rsidRPr="00A82ABE" w:rsidRDefault="00563CAE" w:rsidP="00563CAE">
                  <w:pPr>
                    <w:rPr>
                      <w:rFonts w:ascii="Century Gothic" w:hAnsi="Century Gothic"/>
                      <w:color w:val="806000"/>
                    </w:rPr>
                  </w:pPr>
                </w:p>
                <w:p w14:paraId="67BCCEF0" w14:textId="77777777" w:rsidR="00563CAE" w:rsidRPr="00A82ABE" w:rsidRDefault="00563CAE" w:rsidP="00563CAE">
                  <w:pPr>
                    <w:rPr>
                      <w:color w:val="806000"/>
                    </w:rPr>
                  </w:pPr>
                </w:p>
              </w:tc>
              <w:tc>
                <w:tcPr>
                  <w:tcW w:w="5130" w:type="dxa"/>
                  <w:shd w:val="clear" w:color="auto" w:fill="auto"/>
                </w:tcPr>
                <w:p w14:paraId="515BC2F9" w14:textId="77777777" w:rsidR="00563CAE" w:rsidRPr="00A82ABE" w:rsidRDefault="00563CAE" w:rsidP="00563CAE">
                  <w:pPr>
                    <w:keepNext/>
                    <w:tabs>
                      <w:tab w:val="left" w:pos="-720"/>
                    </w:tabs>
                    <w:spacing w:line="215" w:lineRule="auto"/>
                    <w:jc w:val="center"/>
                    <w:outlineLvl w:val="0"/>
                    <w:rPr>
                      <w:color w:val="806000"/>
                      <w:sz w:val="2"/>
                      <w:szCs w:val="2"/>
                    </w:rPr>
                  </w:pPr>
                </w:p>
                <w:p w14:paraId="4853B8FA" w14:textId="77777777" w:rsidR="00563CAE" w:rsidRPr="00A82ABE" w:rsidRDefault="00563CAE" w:rsidP="00563CAE">
                  <w:pPr>
                    <w:jc w:val="center"/>
                    <w:rPr>
                      <w:color w:val="806000"/>
                      <w:sz w:val="10"/>
                      <w:szCs w:val="10"/>
                    </w:rPr>
                  </w:pPr>
                </w:p>
                <w:p w14:paraId="4EEC2596" w14:textId="249F04BD" w:rsidR="00563CAE" w:rsidRPr="00A82ABE" w:rsidRDefault="005D150B" w:rsidP="005D150B">
                  <w:pPr>
                    <w:ind w:left="-2520" w:right="-2460"/>
                    <w:jc w:val="center"/>
                    <w:rPr>
                      <w:color w:val="806000"/>
                      <w:sz w:val="2"/>
                      <w:szCs w:val="2"/>
                    </w:rPr>
                  </w:pPr>
                  <w:r>
                    <w:rPr>
                      <w:color w:val="806000"/>
                      <w:sz w:val="2"/>
                      <w:szCs w:val="2"/>
                    </w:rPr>
                    <w:t xml:space="preserve">      </w:t>
                  </w:r>
                  <w:r w:rsidR="00563CAE">
                    <w:rPr>
                      <w:noProof/>
                      <w:sz w:val="6"/>
                      <w:szCs w:val="6"/>
                    </w:rPr>
                    <w:drawing>
                      <wp:inline distT="0" distB="0" distL="0" distR="0" wp14:anchorId="13D8F86D" wp14:editId="45A2E2FE">
                        <wp:extent cx="1188627" cy="1009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1047" cy="1011706"/>
                                </a:xfrm>
                                <a:prstGeom prst="rect">
                                  <a:avLst/>
                                </a:prstGeom>
                                <a:noFill/>
                              </pic:spPr>
                            </pic:pic>
                          </a:graphicData>
                        </a:graphic>
                      </wp:inline>
                    </w:drawing>
                  </w:r>
                </w:p>
              </w:tc>
              <w:tc>
                <w:tcPr>
                  <w:tcW w:w="3330" w:type="dxa"/>
                  <w:shd w:val="clear" w:color="auto" w:fill="auto"/>
                </w:tcPr>
                <w:p w14:paraId="1A3903FA" w14:textId="77777777" w:rsidR="005D150B" w:rsidRDefault="00563CAE" w:rsidP="00563CAE">
                  <w:pPr>
                    <w:rPr>
                      <w:snapToGrid w:val="0"/>
                      <w:color w:val="806000"/>
                    </w:rPr>
                  </w:pPr>
                  <w:r>
                    <w:rPr>
                      <w:snapToGrid w:val="0"/>
                      <w:color w:val="806000"/>
                    </w:rPr>
                    <w:t xml:space="preserve">     </w:t>
                  </w:r>
                </w:p>
                <w:p w14:paraId="6A8ECC15" w14:textId="77777777" w:rsidR="005D150B" w:rsidRDefault="005D150B" w:rsidP="00563CAE">
                  <w:pPr>
                    <w:rPr>
                      <w:rFonts w:asciiTheme="minorHAnsi" w:hAnsiTheme="minorHAnsi" w:cstheme="minorHAnsi"/>
                      <w:b/>
                      <w:snapToGrid w:val="0"/>
                      <w:sz w:val="24"/>
                      <w:szCs w:val="24"/>
                    </w:rPr>
                  </w:pPr>
                </w:p>
                <w:p w14:paraId="0E10D3C2" w14:textId="398743F7" w:rsidR="001D34F7" w:rsidRDefault="00563CAE" w:rsidP="00563CAE">
                  <w:pPr>
                    <w:rPr>
                      <w:rFonts w:asciiTheme="minorHAnsi" w:hAnsiTheme="minorHAnsi" w:cstheme="minorHAnsi"/>
                      <w:b/>
                      <w:bCs/>
                      <w:snapToGrid w:val="0"/>
                      <w:sz w:val="24"/>
                      <w:szCs w:val="24"/>
                    </w:rPr>
                  </w:pPr>
                  <w:r w:rsidRPr="00CC6E14">
                    <w:rPr>
                      <w:rFonts w:asciiTheme="minorHAnsi" w:hAnsiTheme="minorHAnsi" w:cstheme="minorHAnsi"/>
                      <w:b/>
                      <w:snapToGrid w:val="0"/>
                      <w:sz w:val="24"/>
                      <w:szCs w:val="24"/>
                    </w:rPr>
                    <w:t xml:space="preserve">Christine M. </w:t>
                  </w:r>
                  <w:r w:rsidRPr="00CC6E14">
                    <w:rPr>
                      <w:rFonts w:asciiTheme="minorHAnsi" w:hAnsiTheme="minorHAnsi" w:cstheme="minorHAnsi"/>
                      <w:b/>
                      <w:bCs/>
                      <w:snapToGrid w:val="0"/>
                      <w:sz w:val="24"/>
                      <w:szCs w:val="24"/>
                    </w:rPr>
                    <w:t>Brenna</w:t>
                  </w:r>
                  <w:r w:rsidR="001D34F7">
                    <w:rPr>
                      <w:rFonts w:asciiTheme="minorHAnsi" w:hAnsiTheme="minorHAnsi" w:cstheme="minorHAnsi"/>
                      <w:b/>
                      <w:bCs/>
                      <w:snapToGrid w:val="0"/>
                      <w:sz w:val="24"/>
                      <w:szCs w:val="24"/>
                    </w:rPr>
                    <w:t>n</w:t>
                  </w:r>
                </w:p>
                <w:p w14:paraId="455B018B" w14:textId="298EF620" w:rsidR="00563CAE" w:rsidRPr="001D34F7" w:rsidRDefault="001D34F7" w:rsidP="00563CAE">
                  <w:pPr>
                    <w:rPr>
                      <w:rFonts w:asciiTheme="minorHAnsi" w:hAnsiTheme="minorHAnsi" w:cstheme="minorHAnsi"/>
                      <w:b/>
                      <w:bCs/>
                      <w:snapToGrid w:val="0"/>
                      <w:sz w:val="24"/>
                      <w:szCs w:val="24"/>
                    </w:rPr>
                  </w:pPr>
                  <w:r>
                    <w:rPr>
                      <w:rFonts w:asciiTheme="minorHAnsi" w:hAnsiTheme="minorHAnsi" w:cstheme="minorHAnsi"/>
                      <w:b/>
                      <w:bCs/>
                      <w:snapToGrid w:val="0"/>
                      <w:sz w:val="24"/>
                      <w:szCs w:val="24"/>
                    </w:rPr>
                    <w:t xml:space="preserve"> </w:t>
                  </w:r>
                  <w:r w:rsidR="00563CAE" w:rsidRPr="00CC6E14">
                    <w:rPr>
                      <w:rFonts w:asciiTheme="minorHAnsi" w:hAnsiTheme="minorHAnsi" w:cstheme="minorHAnsi"/>
                      <w:sz w:val="16"/>
                      <w:szCs w:val="16"/>
                    </w:rPr>
                    <w:t xml:space="preserve">Deputy Commissioner </w:t>
                  </w:r>
                </w:p>
                <w:p w14:paraId="4F56FE4C" w14:textId="77777777" w:rsidR="00563CAE" w:rsidRPr="00A82ABE" w:rsidRDefault="00563CAE" w:rsidP="00563CAE">
                  <w:pPr>
                    <w:rPr>
                      <w:color w:val="806000"/>
                    </w:rPr>
                  </w:pPr>
                </w:p>
              </w:tc>
            </w:tr>
          </w:tbl>
          <w:p w14:paraId="5B4EF6F6" w14:textId="77777777" w:rsidR="00616068" w:rsidRDefault="00616068">
            <w:pPr>
              <w:jc w:val="center"/>
              <w:rPr>
                <w:sz w:val="6"/>
                <w:szCs w:val="6"/>
              </w:rPr>
            </w:pPr>
          </w:p>
        </w:tc>
        <w:tc>
          <w:tcPr>
            <w:tcW w:w="4428" w:type="dxa"/>
            <w:tcMar>
              <w:top w:w="0" w:type="dxa"/>
              <w:left w:w="108" w:type="dxa"/>
              <w:bottom w:w="0" w:type="dxa"/>
              <w:right w:w="108" w:type="dxa"/>
            </w:tcMar>
          </w:tcPr>
          <w:p w14:paraId="08B6EAFB" w14:textId="77777777" w:rsidR="00616068" w:rsidRDefault="00616068">
            <w:pPr>
              <w:jc w:val="center"/>
              <w:rPr>
                <w:sz w:val="24"/>
                <w:szCs w:val="24"/>
              </w:rPr>
            </w:pPr>
          </w:p>
        </w:tc>
      </w:tr>
      <w:tr w:rsidR="00616068" w14:paraId="5B9443DF" w14:textId="77777777" w:rsidTr="00616068">
        <w:tc>
          <w:tcPr>
            <w:tcW w:w="10998" w:type="dxa"/>
            <w:gridSpan w:val="3"/>
            <w:tcMar>
              <w:top w:w="0" w:type="dxa"/>
              <w:left w:w="108" w:type="dxa"/>
              <w:bottom w:w="0" w:type="dxa"/>
              <w:right w:w="108" w:type="dxa"/>
            </w:tcMar>
          </w:tcPr>
          <w:p w14:paraId="0C4E9359" w14:textId="30F8222C" w:rsidR="00616068" w:rsidRPr="001D34F7" w:rsidRDefault="00616068" w:rsidP="00CD272B">
            <w:pPr>
              <w:tabs>
                <w:tab w:val="left" w:pos="10785"/>
              </w:tabs>
              <w:ind w:right="660"/>
              <w:jc w:val="center"/>
              <w:rPr>
                <w:rFonts w:asciiTheme="minorHAnsi" w:hAnsiTheme="minorHAnsi" w:cstheme="minorHAnsi"/>
                <w:b/>
                <w:bCs/>
                <w:sz w:val="32"/>
                <w:szCs w:val="32"/>
              </w:rPr>
            </w:pPr>
            <w:r w:rsidRPr="001D34F7">
              <w:rPr>
                <w:rFonts w:asciiTheme="minorHAnsi" w:hAnsiTheme="minorHAnsi" w:cstheme="minorHAnsi"/>
                <w:b/>
                <w:bCs/>
                <w:sz w:val="32"/>
                <w:szCs w:val="32"/>
              </w:rPr>
              <w:t>Older Individuals who are Blind and Vision Impaired Program</w:t>
            </w:r>
          </w:p>
          <w:p w14:paraId="5A13E86D" w14:textId="77777777" w:rsidR="001D34F7" w:rsidRPr="001D34F7" w:rsidRDefault="001D34F7" w:rsidP="00CD272B">
            <w:pPr>
              <w:tabs>
                <w:tab w:val="left" w:pos="10785"/>
              </w:tabs>
              <w:ind w:right="660"/>
              <w:jc w:val="center"/>
              <w:rPr>
                <w:rFonts w:asciiTheme="minorHAnsi" w:hAnsiTheme="minorHAnsi" w:cstheme="minorHAnsi"/>
                <w:bCs/>
                <w:color w:val="37191E"/>
                <w:sz w:val="24"/>
                <w:szCs w:val="24"/>
              </w:rPr>
            </w:pPr>
            <w:r w:rsidRPr="001D34F7">
              <w:rPr>
                <w:rFonts w:asciiTheme="minorHAnsi" w:hAnsiTheme="minorHAnsi" w:cstheme="minorHAnsi"/>
                <w:bCs/>
                <w:color w:val="37191E"/>
                <w:sz w:val="24"/>
                <w:szCs w:val="24"/>
              </w:rPr>
              <w:t>Office of Services for the Blind and Vision Impaired</w:t>
            </w:r>
          </w:p>
          <w:p w14:paraId="48C88599" w14:textId="77777777" w:rsidR="001D34F7" w:rsidRPr="001D34F7" w:rsidRDefault="001D34F7" w:rsidP="00CD272B">
            <w:pPr>
              <w:tabs>
                <w:tab w:val="left" w:pos="10785"/>
              </w:tabs>
              <w:ind w:right="660"/>
              <w:jc w:val="center"/>
              <w:rPr>
                <w:rFonts w:asciiTheme="minorHAnsi" w:hAnsiTheme="minorHAnsi" w:cstheme="minorHAnsi"/>
                <w:bCs/>
                <w:color w:val="37191E"/>
                <w:sz w:val="24"/>
                <w:szCs w:val="24"/>
              </w:rPr>
            </w:pPr>
            <w:r w:rsidRPr="001D34F7">
              <w:rPr>
                <w:rFonts w:asciiTheme="minorHAnsi" w:hAnsiTheme="minorHAnsi" w:cstheme="minorHAnsi"/>
                <w:bCs/>
                <w:color w:val="37191E"/>
                <w:sz w:val="24"/>
                <w:szCs w:val="24"/>
              </w:rPr>
              <w:t>State of New Hampshire Department of Education</w:t>
            </w:r>
          </w:p>
          <w:p w14:paraId="4FBA1CEB" w14:textId="77777777" w:rsidR="001D34F7" w:rsidRPr="001D34F7" w:rsidRDefault="001D34F7" w:rsidP="00CD272B">
            <w:pPr>
              <w:tabs>
                <w:tab w:val="left" w:pos="10785"/>
              </w:tabs>
              <w:ind w:right="660"/>
              <w:jc w:val="center"/>
              <w:rPr>
                <w:rFonts w:asciiTheme="minorHAnsi" w:hAnsiTheme="minorHAnsi" w:cstheme="minorHAnsi"/>
                <w:bCs/>
                <w:color w:val="37191E"/>
                <w:sz w:val="24"/>
                <w:szCs w:val="24"/>
              </w:rPr>
            </w:pPr>
            <w:r w:rsidRPr="001D34F7">
              <w:rPr>
                <w:rFonts w:asciiTheme="minorHAnsi" w:hAnsiTheme="minorHAnsi" w:cstheme="minorHAnsi"/>
                <w:bCs/>
                <w:color w:val="37191E"/>
                <w:sz w:val="24"/>
                <w:szCs w:val="24"/>
              </w:rPr>
              <w:t>21 South Fruit Street Suite 20, Concord NH 03301-2428</w:t>
            </w:r>
          </w:p>
          <w:p w14:paraId="31F43126" w14:textId="77777777" w:rsidR="001D34F7" w:rsidRPr="001D34F7" w:rsidRDefault="001D34F7" w:rsidP="00CD272B">
            <w:pPr>
              <w:tabs>
                <w:tab w:val="left" w:pos="10785"/>
              </w:tabs>
              <w:ind w:right="660"/>
              <w:jc w:val="center"/>
              <w:rPr>
                <w:rFonts w:asciiTheme="minorHAnsi" w:hAnsiTheme="minorHAnsi" w:cstheme="minorHAnsi"/>
                <w:bCs/>
                <w:color w:val="37191E"/>
                <w:sz w:val="24"/>
                <w:szCs w:val="24"/>
              </w:rPr>
            </w:pPr>
          </w:p>
          <w:p w14:paraId="4AA5F426" w14:textId="0676A613" w:rsidR="00616068" w:rsidRPr="001D34F7" w:rsidRDefault="001D34F7" w:rsidP="00CD272B">
            <w:pPr>
              <w:pStyle w:val="Heading1"/>
              <w:spacing w:line="240" w:lineRule="auto"/>
              <w:ind w:right="660"/>
              <w:jc w:val="center"/>
              <w:rPr>
                <w:rFonts w:ascii="Times New Roman" w:hAnsi="Times New Roman"/>
                <w:b w:val="0"/>
                <w:bCs/>
                <w:sz w:val="20"/>
              </w:rPr>
            </w:pPr>
            <w:r w:rsidRPr="001D34F7">
              <w:rPr>
                <w:rFonts w:asciiTheme="minorHAnsi" w:hAnsiTheme="minorHAnsi" w:cstheme="minorHAnsi"/>
                <w:b w:val="0"/>
                <w:bCs/>
                <w:color w:val="37191E"/>
                <w:sz w:val="24"/>
                <w:szCs w:val="24"/>
              </w:rPr>
              <w:t>Tel: (603) 271-35</w:t>
            </w:r>
            <w:r w:rsidR="004E4951">
              <w:rPr>
                <w:rFonts w:asciiTheme="minorHAnsi" w:hAnsiTheme="minorHAnsi" w:cstheme="minorHAnsi"/>
                <w:b w:val="0"/>
                <w:bCs/>
                <w:color w:val="37191E"/>
                <w:sz w:val="24"/>
                <w:szCs w:val="24"/>
              </w:rPr>
              <w:t>37     Toll Free: 1-800-581-6881</w:t>
            </w:r>
            <w:r w:rsidRPr="001D34F7">
              <w:rPr>
                <w:rFonts w:asciiTheme="minorHAnsi" w:hAnsiTheme="minorHAnsi" w:cstheme="minorHAnsi"/>
                <w:b w:val="0"/>
                <w:bCs/>
                <w:color w:val="37191E"/>
                <w:sz w:val="24"/>
                <w:szCs w:val="24"/>
              </w:rPr>
              <w:t xml:space="preserve">    Fax: (603) 271-3816</w:t>
            </w:r>
          </w:p>
        </w:tc>
      </w:tr>
    </w:tbl>
    <w:p w14:paraId="643B443E" w14:textId="12F0C17E" w:rsidR="00D46422" w:rsidRDefault="001D34F7" w:rsidP="001D34F7">
      <w:pPr>
        <w:jc w:val="center"/>
        <w:rPr>
          <w:sz w:val="24"/>
          <w:szCs w:val="24"/>
        </w:rPr>
      </w:pPr>
      <w:r>
        <w:rPr>
          <w:noProof/>
          <w:sz w:val="24"/>
          <w:szCs w:val="24"/>
        </w:rPr>
        <w:drawing>
          <wp:inline distT="0" distB="0" distL="0" distR="0" wp14:anchorId="52A968F0" wp14:editId="776FB146">
            <wp:extent cx="5864860" cy="304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4860" cy="30480"/>
                    </a:xfrm>
                    <a:prstGeom prst="rect">
                      <a:avLst/>
                    </a:prstGeom>
                    <a:noFill/>
                  </pic:spPr>
                </pic:pic>
              </a:graphicData>
            </a:graphic>
          </wp:inline>
        </w:drawing>
      </w:r>
    </w:p>
    <w:p w14:paraId="6DE99E1A" w14:textId="77777777" w:rsidR="001C65F0" w:rsidRDefault="001C65F0" w:rsidP="00057B70">
      <w:pPr>
        <w:spacing w:line="215" w:lineRule="auto"/>
        <w:ind w:left="720"/>
        <w:jc w:val="both"/>
        <w:rPr>
          <w:rFonts w:asciiTheme="minorHAnsi" w:hAnsiTheme="minorHAnsi" w:cstheme="minorHAnsi"/>
          <w:sz w:val="28"/>
          <w:szCs w:val="28"/>
        </w:rPr>
      </w:pPr>
    </w:p>
    <w:p w14:paraId="7CCA1FC1" w14:textId="7871CC79" w:rsidR="00B43036" w:rsidRDefault="00B43036" w:rsidP="00057B70">
      <w:pPr>
        <w:spacing w:line="215" w:lineRule="auto"/>
        <w:ind w:left="720"/>
        <w:jc w:val="both"/>
        <w:rPr>
          <w:rFonts w:asciiTheme="minorHAnsi" w:hAnsiTheme="minorHAnsi" w:cstheme="minorHAnsi"/>
          <w:sz w:val="24"/>
          <w:szCs w:val="24"/>
        </w:rPr>
      </w:pPr>
      <w:r>
        <w:rPr>
          <w:rFonts w:asciiTheme="minorHAnsi" w:hAnsiTheme="minorHAnsi" w:cstheme="minorHAnsi"/>
          <w:sz w:val="24"/>
          <w:szCs w:val="24"/>
        </w:rPr>
        <w:t xml:space="preserve">June </w:t>
      </w:r>
      <w:r w:rsidR="00F125AE">
        <w:rPr>
          <w:rFonts w:asciiTheme="minorHAnsi" w:hAnsiTheme="minorHAnsi" w:cstheme="minorHAnsi"/>
          <w:sz w:val="24"/>
          <w:szCs w:val="24"/>
        </w:rPr>
        <w:t>23</w:t>
      </w:r>
      <w:r>
        <w:rPr>
          <w:rFonts w:asciiTheme="minorHAnsi" w:hAnsiTheme="minorHAnsi" w:cstheme="minorHAnsi"/>
          <w:sz w:val="24"/>
          <w:szCs w:val="24"/>
        </w:rPr>
        <w:t>, 2023</w:t>
      </w:r>
    </w:p>
    <w:p w14:paraId="079200EF" w14:textId="77777777" w:rsidR="00B43036" w:rsidRDefault="00B43036" w:rsidP="00057B70">
      <w:pPr>
        <w:spacing w:line="215" w:lineRule="auto"/>
        <w:ind w:left="720"/>
        <w:jc w:val="both"/>
        <w:rPr>
          <w:rFonts w:asciiTheme="minorHAnsi" w:hAnsiTheme="minorHAnsi" w:cstheme="minorHAnsi"/>
          <w:sz w:val="24"/>
          <w:szCs w:val="24"/>
        </w:rPr>
      </w:pPr>
    </w:p>
    <w:p w14:paraId="3E001546" w14:textId="2428DAC2" w:rsidR="00B43036" w:rsidRDefault="00B43036" w:rsidP="00057B70">
      <w:pPr>
        <w:spacing w:line="215" w:lineRule="auto"/>
        <w:ind w:left="720"/>
        <w:jc w:val="both"/>
        <w:rPr>
          <w:rFonts w:asciiTheme="minorHAnsi" w:hAnsiTheme="minorHAnsi" w:cstheme="minorHAnsi"/>
          <w:sz w:val="24"/>
          <w:szCs w:val="24"/>
        </w:rPr>
      </w:pPr>
      <w:r>
        <w:rPr>
          <w:rFonts w:asciiTheme="minorHAnsi" w:hAnsiTheme="minorHAnsi" w:cstheme="minorHAnsi"/>
          <w:sz w:val="24"/>
          <w:szCs w:val="24"/>
        </w:rPr>
        <w:t xml:space="preserve">On or about June 2, </w:t>
      </w:r>
      <w:r w:rsidR="00F125AE">
        <w:rPr>
          <w:rFonts w:asciiTheme="minorHAnsi" w:hAnsiTheme="minorHAnsi" w:cstheme="minorHAnsi"/>
          <w:sz w:val="24"/>
          <w:szCs w:val="24"/>
        </w:rPr>
        <w:t>2023,</w:t>
      </w:r>
      <w:r>
        <w:rPr>
          <w:rFonts w:asciiTheme="minorHAnsi" w:hAnsiTheme="minorHAnsi" w:cstheme="minorHAnsi"/>
          <w:sz w:val="24"/>
          <w:szCs w:val="24"/>
        </w:rPr>
        <w:t xml:space="preserve"> VR/OIB issued a Request for Proposal (RFP) for </w:t>
      </w:r>
      <w:r w:rsidR="00571AC0">
        <w:rPr>
          <w:rFonts w:asciiTheme="minorHAnsi" w:hAnsiTheme="minorHAnsi" w:cstheme="minorHAnsi"/>
          <w:sz w:val="24"/>
          <w:szCs w:val="24"/>
        </w:rPr>
        <w:t xml:space="preserve">services related to its </w:t>
      </w:r>
      <w:r>
        <w:rPr>
          <w:rFonts w:asciiTheme="minorHAnsi" w:hAnsiTheme="minorHAnsi" w:cstheme="minorHAnsi"/>
          <w:sz w:val="24"/>
          <w:szCs w:val="24"/>
        </w:rPr>
        <w:t xml:space="preserve">Silver </w:t>
      </w:r>
      <w:r w:rsidR="00252BD5">
        <w:rPr>
          <w:rFonts w:asciiTheme="minorHAnsi" w:hAnsiTheme="minorHAnsi" w:cstheme="minorHAnsi"/>
          <w:sz w:val="24"/>
          <w:szCs w:val="24"/>
        </w:rPr>
        <w:t>Retreat</w:t>
      </w:r>
      <w:r>
        <w:rPr>
          <w:rFonts w:asciiTheme="minorHAnsi" w:hAnsiTheme="minorHAnsi" w:cstheme="minorHAnsi"/>
          <w:sz w:val="24"/>
          <w:szCs w:val="24"/>
        </w:rPr>
        <w:t xml:space="preserve"> </w:t>
      </w:r>
      <w:r w:rsidR="00571AC0">
        <w:rPr>
          <w:rFonts w:asciiTheme="minorHAnsi" w:hAnsiTheme="minorHAnsi" w:cstheme="minorHAnsi"/>
          <w:sz w:val="24"/>
          <w:szCs w:val="24"/>
        </w:rPr>
        <w:t>program</w:t>
      </w:r>
      <w:r>
        <w:rPr>
          <w:rFonts w:asciiTheme="minorHAnsi" w:hAnsiTheme="minorHAnsi" w:cstheme="minorHAnsi"/>
          <w:sz w:val="24"/>
          <w:szCs w:val="24"/>
        </w:rPr>
        <w:t xml:space="preserve">. Pursuant to RFP Section 1, B, vendors had until June 14, </w:t>
      </w:r>
      <w:r w:rsidR="00F125AE">
        <w:rPr>
          <w:rFonts w:asciiTheme="minorHAnsi" w:hAnsiTheme="minorHAnsi" w:cstheme="minorHAnsi"/>
          <w:sz w:val="24"/>
          <w:szCs w:val="24"/>
        </w:rPr>
        <w:t>2023,</w:t>
      </w:r>
      <w:r>
        <w:rPr>
          <w:rFonts w:asciiTheme="minorHAnsi" w:hAnsiTheme="minorHAnsi" w:cstheme="minorHAnsi"/>
          <w:sz w:val="24"/>
          <w:szCs w:val="24"/>
        </w:rPr>
        <w:t xml:space="preserve"> at 4:00 pm to submit written questions about the RFP. </w:t>
      </w:r>
      <w:r w:rsidR="00571AC0">
        <w:rPr>
          <w:rFonts w:asciiTheme="minorHAnsi" w:hAnsiTheme="minorHAnsi" w:cstheme="minorHAnsi"/>
          <w:sz w:val="24"/>
          <w:szCs w:val="24"/>
        </w:rPr>
        <w:t>Accordingly, VR/OIB’s responses to those questions are provided below. This document will be provided to all vendors who were initially notified of the RFP, and of anyone who has expressed interest in the RFP or requested a copy of this document.</w:t>
      </w:r>
    </w:p>
    <w:p w14:paraId="51B407DB" w14:textId="77777777" w:rsidR="00571AC0" w:rsidRDefault="00571AC0" w:rsidP="00057B70">
      <w:pPr>
        <w:spacing w:line="215" w:lineRule="auto"/>
        <w:ind w:left="720"/>
        <w:jc w:val="both"/>
        <w:rPr>
          <w:rFonts w:asciiTheme="minorHAnsi" w:hAnsiTheme="minorHAnsi" w:cstheme="minorHAnsi"/>
          <w:sz w:val="24"/>
          <w:szCs w:val="24"/>
        </w:rPr>
      </w:pPr>
    </w:p>
    <w:p w14:paraId="0C3A85FA" w14:textId="346503EB" w:rsidR="00571AC0" w:rsidRPr="00571AC0" w:rsidRDefault="00571AC0" w:rsidP="00571AC0">
      <w:pPr>
        <w:pStyle w:val="ListParagraph"/>
        <w:numPr>
          <w:ilvl w:val="0"/>
          <w:numId w:val="2"/>
        </w:numPr>
        <w:spacing w:line="215" w:lineRule="auto"/>
        <w:jc w:val="both"/>
        <w:rPr>
          <w:rFonts w:asciiTheme="minorHAnsi" w:hAnsiTheme="minorHAnsi" w:cstheme="minorHAnsi"/>
          <w:i/>
          <w:iCs/>
          <w:sz w:val="24"/>
          <w:szCs w:val="24"/>
        </w:rPr>
      </w:pPr>
      <w:r w:rsidRPr="00571AC0">
        <w:rPr>
          <w:rFonts w:asciiTheme="minorHAnsi" w:hAnsiTheme="minorHAnsi" w:cstheme="minorHAnsi"/>
          <w:i/>
          <w:iCs/>
          <w:sz w:val="24"/>
          <w:szCs w:val="24"/>
        </w:rPr>
        <w:t xml:space="preserve">How many OIB/VR attendees need to be factored into the five-day </w:t>
      </w:r>
      <w:r w:rsidR="00252BD5">
        <w:rPr>
          <w:rFonts w:asciiTheme="minorHAnsi" w:hAnsiTheme="minorHAnsi" w:cstheme="minorHAnsi"/>
          <w:i/>
          <w:iCs/>
          <w:sz w:val="24"/>
          <w:szCs w:val="24"/>
        </w:rPr>
        <w:t>Retreat</w:t>
      </w:r>
      <w:r w:rsidRPr="00571AC0">
        <w:rPr>
          <w:rFonts w:asciiTheme="minorHAnsi" w:hAnsiTheme="minorHAnsi" w:cstheme="minorHAnsi"/>
          <w:i/>
          <w:iCs/>
          <w:sz w:val="24"/>
          <w:szCs w:val="24"/>
        </w:rPr>
        <w:t xml:space="preserve"> for lodging and meals?</w:t>
      </w:r>
    </w:p>
    <w:p w14:paraId="7152C22B" w14:textId="77777777" w:rsidR="003A2FFB" w:rsidRDefault="00571AC0" w:rsidP="00571AC0">
      <w:pPr>
        <w:pStyle w:val="ListParagraph"/>
        <w:spacing w:line="215" w:lineRule="auto"/>
        <w:ind w:left="1440"/>
        <w:jc w:val="both"/>
        <w:rPr>
          <w:rFonts w:asciiTheme="minorHAnsi" w:hAnsiTheme="minorHAnsi" w:cstheme="minorHAnsi"/>
          <w:sz w:val="24"/>
          <w:szCs w:val="24"/>
        </w:rPr>
      </w:pPr>
      <w:bookmarkStart w:id="0" w:name="_Hlk137731584"/>
      <w:r>
        <w:rPr>
          <w:rFonts w:asciiTheme="minorHAnsi" w:hAnsiTheme="minorHAnsi" w:cstheme="minorHAnsi"/>
          <w:sz w:val="24"/>
          <w:szCs w:val="24"/>
        </w:rPr>
        <w:t xml:space="preserve">Response: </w:t>
      </w:r>
      <w:r w:rsidR="00052025">
        <w:rPr>
          <w:rFonts w:asciiTheme="minorHAnsi" w:hAnsiTheme="minorHAnsi" w:cstheme="minorHAnsi"/>
          <w:sz w:val="24"/>
          <w:szCs w:val="24"/>
        </w:rPr>
        <w:t xml:space="preserve">Neither a section number nor page number of the RFP was referenced in the question. </w:t>
      </w:r>
    </w:p>
    <w:p w14:paraId="21C1773C" w14:textId="77777777" w:rsidR="003A2FFB" w:rsidRDefault="003A2FFB" w:rsidP="00571AC0">
      <w:pPr>
        <w:pStyle w:val="ListParagraph"/>
        <w:spacing w:line="215" w:lineRule="auto"/>
        <w:ind w:left="1440"/>
        <w:jc w:val="both"/>
        <w:rPr>
          <w:rFonts w:asciiTheme="minorHAnsi" w:hAnsiTheme="minorHAnsi" w:cstheme="minorHAnsi"/>
          <w:sz w:val="24"/>
          <w:szCs w:val="24"/>
        </w:rPr>
      </w:pPr>
    </w:p>
    <w:p w14:paraId="017BFF52" w14:textId="75798F12" w:rsidR="00571AC0" w:rsidRDefault="00052025" w:rsidP="00571AC0">
      <w:pPr>
        <w:pStyle w:val="ListParagraph"/>
        <w:spacing w:line="215" w:lineRule="auto"/>
        <w:ind w:left="1440"/>
        <w:jc w:val="both"/>
        <w:rPr>
          <w:rFonts w:asciiTheme="minorHAnsi" w:hAnsiTheme="minorHAnsi" w:cstheme="minorHAnsi"/>
          <w:sz w:val="24"/>
          <w:szCs w:val="24"/>
        </w:rPr>
      </w:pPr>
      <w:r>
        <w:rPr>
          <w:rFonts w:asciiTheme="minorHAnsi" w:hAnsiTheme="minorHAnsi" w:cstheme="minorHAnsi"/>
          <w:sz w:val="24"/>
          <w:szCs w:val="24"/>
        </w:rPr>
        <w:t>VR/OIB’s response is based on RFP</w:t>
      </w:r>
      <w:r w:rsidR="00500671">
        <w:rPr>
          <w:rFonts w:asciiTheme="minorHAnsi" w:hAnsiTheme="minorHAnsi" w:cstheme="minorHAnsi"/>
          <w:sz w:val="24"/>
          <w:szCs w:val="24"/>
        </w:rPr>
        <w:t xml:space="preserve"> Section </w:t>
      </w:r>
      <w:bookmarkEnd w:id="0"/>
      <w:r w:rsidR="00500671">
        <w:rPr>
          <w:rFonts w:asciiTheme="minorHAnsi" w:hAnsiTheme="minorHAnsi" w:cstheme="minorHAnsi"/>
          <w:sz w:val="24"/>
          <w:szCs w:val="24"/>
        </w:rPr>
        <w:t>2, B, 2.a on page 8.</w:t>
      </w:r>
      <w:r>
        <w:rPr>
          <w:rFonts w:asciiTheme="minorHAnsi" w:hAnsiTheme="minorHAnsi" w:cstheme="minorHAnsi"/>
          <w:sz w:val="24"/>
          <w:szCs w:val="24"/>
        </w:rPr>
        <w:t xml:space="preserve"> </w:t>
      </w:r>
      <w:r w:rsidR="00571AC0">
        <w:rPr>
          <w:rFonts w:asciiTheme="minorHAnsi" w:hAnsiTheme="minorHAnsi" w:cstheme="minorHAnsi"/>
          <w:sz w:val="24"/>
          <w:szCs w:val="24"/>
        </w:rPr>
        <w:t>It is anticipated that no more than three OIB/VR attendees will attend during the da</w:t>
      </w:r>
      <w:r w:rsidR="00813BB4">
        <w:rPr>
          <w:rFonts w:asciiTheme="minorHAnsi" w:hAnsiTheme="minorHAnsi" w:cstheme="minorHAnsi"/>
          <w:sz w:val="24"/>
          <w:szCs w:val="24"/>
        </w:rPr>
        <w:t>ytime</w:t>
      </w:r>
      <w:r w:rsidR="00571AC0">
        <w:rPr>
          <w:rFonts w:asciiTheme="minorHAnsi" w:hAnsiTheme="minorHAnsi" w:cstheme="minorHAnsi"/>
          <w:sz w:val="24"/>
          <w:szCs w:val="24"/>
        </w:rPr>
        <w:t xml:space="preserve"> </w:t>
      </w:r>
      <w:r w:rsidR="00252BD5">
        <w:rPr>
          <w:rFonts w:asciiTheme="minorHAnsi" w:hAnsiTheme="minorHAnsi" w:cstheme="minorHAnsi"/>
          <w:sz w:val="24"/>
          <w:szCs w:val="24"/>
        </w:rPr>
        <w:t>Retreat</w:t>
      </w:r>
      <w:r w:rsidR="00571AC0">
        <w:rPr>
          <w:rFonts w:asciiTheme="minorHAnsi" w:hAnsiTheme="minorHAnsi" w:cstheme="minorHAnsi"/>
          <w:sz w:val="24"/>
          <w:szCs w:val="24"/>
        </w:rPr>
        <w:t xml:space="preserve"> schedule, and no more than two OIB/VR attendees will require dinner, </w:t>
      </w:r>
      <w:r w:rsidR="00F125AE">
        <w:rPr>
          <w:rFonts w:asciiTheme="minorHAnsi" w:hAnsiTheme="minorHAnsi" w:cstheme="minorHAnsi"/>
          <w:sz w:val="24"/>
          <w:szCs w:val="24"/>
        </w:rPr>
        <w:t>breakfast,</w:t>
      </w:r>
      <w:r w:rsidR="00571AC0">
        <w:rPr>
          <w:rFonts w:asciiTheme="minorHAnsi" w:hAnsiTheme="minorHAnsi" w:cstheme="minorHAnsi"/>
          <w:sz w:val="24"/>
          <w:szCs w:val="24"/>
        </w:rPr>
        <w:t xml:space="preserve"> and overnight lodging.</w:t>
      </w:r>
    </w:p>
    <w:p w14:paraId="591E5A9F" w14:textId="77777777" w:rsidR="00571AC0" w:rsidRDefault="00571AC0" w:rsidP="00571AC0">
      <w:pPr>
        <w:pStyle w:val="ListParagraph"/>
        <w:spacing w:line="215" w:lineRule="auto"/>
        <w:ind w:left="1440"/>
        <w:jc w:val="both"/>
        <w:rPr>
          <w:rFonts w:asciiTheme="minorHAnsi" w:hAnsiTheme="minorHAnsi" w:cstheme="minorHAnsi"/>
          <w:sz w:val="24"/>
          <w:szCs w:val="24"/>
        </w:rPr>
      </w:pPr>
    </w:p>
    <w:p w14:paraId="248832D5" w14:textId="77777777" w:rsidR="00571AC0" w:rsidRPr="00571AC0" w:rsidRDefault="00571AC0" w:rsidP="00571AC0">
      <w:pPr>
        <w:pStyle w:val="ListParagraph"/>
        <w:numPr>
          <w:ilvl w:val="0"/>
          <w:numId w:val="2"/>
        </w:numPr>
        <w:spacing w:line="215" w:lineRule="auto"/>
        <w:jc w:val="both"/>
        <w:rPr>
          <w:rFonts w:asciiTheme="minorHAnsi" w:hAnsiTheme="minorHAnsi" w:cstheme="minorHAnsi"/>
          <w:i/>
          <w:iCs/>
          <w:sz w:val="24"/>
          <w:szCs w:val="24"/>
        </w:rPr>
      </w:pPr>
      <w:r w:rsidRPr="00571AC0">
        <w:rPr>
          <w:rFonts w:asciiTheme="minorHAnsi" w:hAnsiTheme="minorHAnsi" w:cstheme="minorHAnsi"/>
          <w:i/>
          <w:iCs/>
          <w:sz w:val="24"/>
          <w:szCs w:val="24"/>
        </w:rPr>
        <w:t>Regarding the “Non-exclusive Contract” language, who is responsible for paying for changes to the programming if VR/OIB selects other vendors to provide programming?  What would be your process and minimum timeline for identifying and making changes?</w:t>
      </w:r>
    </w:p>
    <w:p w14:paraId="795C98C1" w14:textId="77777777" w:rsidR="003A2FFB" w:rsidRDefault="00944E9B" w:rsidP="00052025">
      <w:pPr>
        <w:pStyle w:val="ListParagraph"/>
        <w:spacing w:line="215" w:lineRule="auto"/>
        <w:ind w:left="1440"/>
        <w:jc w:val="both"/>
        <w:rPr>
          <w:rFonts w:asciiTheme="minorHAnsi" w:hAnsiTheme="minorHAnsi" w:cstheme="minorHAnsi"/>
          <w:sz w:val="24"/>
          <w:szCs w:val="24"/>
        </w:rPr>
      </w:pPr>
      <w:r>
        <w:rPr>
          <w:rFonts w:asciiTheme="minorHAnsi" w:hAnsiTheme="minorHAnsi" w:cstheme="minorHAnsi"/>
          <w:sz w:val="24"/>
          <w:szCs w:val="24"/>
        </w:rPr>
        <w:t xml:space="preserve">Response: Neither a section number nor page number of the RFP was referenced </w:t>
      </w:r>
      <w:r w:rsidR="00052025">
        <w:rPr>
          <w:rFonts w:asciiTheme="minorHAnsi" w:hAnsiTheme="minorHAnsi" w:cstheme="minorHAnsi"/>
          <w:sz w:val="24"/>
          <w:szCs w:val="24"/>
        </w:rPr>
        <w:t>in</w:t>
      </w:r>
      <w:r>
        <w:rPr>
          <w:rFonts w:asciiTheme="minorHAnsi" w:hAnsiTheme="minorHAnsi" w:cstheme="minorHAnsi"/>
          <w:sz w:val="24"/>
          <w:szCs w:val="24"/>
        </w:rPr>
        <w:t xml:space="preserve"> the question. </w:t>
      </w:r>
    </w:p>
    <w:p w14:paraId="4201B542" w14:textId="77777777" w:rsidR="003A2FFB" w:rsidRDefault="003A2FFB" w:rsidP="00052025">
      <w:pPr>
        <w:pStyle w:val="ListParagraph"/>
        <w:spacing w:line="215" w:lineRule="auto"/>
        <w:ind w:left="1440"/>
        <w:jc w:val="both"/>
        <w:rPr>
          <w:rFonts w:asciiTheme="minorHAnsi" w:hAnsiTheme="minorHAnsi" w:cstheme="minorHAnsi"/>
          <w:sz w:val="24"/>
          <w:szCs w:val="24"/>
        </w:rPr>
      </w:pPr>
    </w:p>
    <w:p w14:paraId="0028BBD8" w14:textId="1A6A5192" w:rsidR="00052025" w:rsidRDefault="007510E1" w:rsidP="00052025">
      <w:pPr>
        <w:pStyle w:val="ListParagraph"/>
        <w:spacing w:line="215" w:lineRule="auto"/>
        <w:ind w:left="1440"/>
        <w:jc w:val="both"/>
        <w:rPr>
          <w:rFonts w:asciiTheme="minorHAnsi" w:hAnsiTheme="minorHAnsi" w:cstheme="minorHAnsi"/>
          <w:b/>
          <w:bCs/>
          <w:sz w:val="24"/>
          <w:szCs w:val="24"/>
        </w:rPr>
      </w:pPr>
      <w:r w:rsidRPr="007510E1">
        <w:rPr>
          <w:rFonts w:asciiTheme="minorHAnsi" w:hAnsiTheme="minorHAnsi" w:cstheme="minorHAnsi"/>
          <w:sz w:val="24"/>
          <w:szCs w:val="24"/>
        </w:rPr>
        <w:t xml:space="preserve">VR/OIB’s response is </w:t>
      </w:r>
      <w:r w:rsidR="001F07AF">
        <w:rPr>
          <w:rFonts w:asciiTheme="minorHAnsi" w:hAnsiTheme="minorHAnsi" w:cstheme="minorHAnsi"/>
          <w:sz w:val="24"/>
          <w:szCs w:val="24"/>
        </w:rPr>
        <w:t>the contract will determine the amount of funds, scope of work, and deliverables based on the procurement with that vendor.</w:t>
      </w:r>
    </w:p>
    <w:p w14:paraId="286A095A" w14:textId="77777777" w:rsidR="00052025" w:rsidRDefault="00052025" w:rsidP="00052025">
      <w:pPr>
        <w:pStyle w:val="ListParagraph"/>
        <w:spacing w:line="215" w:lineRule="auto"/>
        <w:ind w:left="1440"/>
        <w:jc w:val="both"/>
        <w:rPr>
          <w:rFonts w:asciiTheme="minorHAnsi" w:hAnsiTheme="minorHAnsi" w:cstheme="minorHAnsi"/>
          <w:b/>
          <w:bCs/>
          <w:sz w:val="24"/>
          <w:szCs w:val="24"/>
        </w:rPr>
      </w:pPr>
    </w:p>
    <w:p w14:paraId="0F6F60BB" w14:textId="77777777" w:rsidR="00052025" w:rsidRPr="00052025" w:rsidRDefault="00052025" w:rsidP="00052025">
      <w:pPr>
        <w:pStyle w:val="ListParagraph"/>
        <w:numPr>
          <w:ilvl w:val="0"/>
          <w:numId w:val="2"/>
        </w:numPr>
        <w:rPr>
          <w:rFonts w:asciiTheme="minorHAnsi" w:hAnsiTheme="minorHAnsi" w:cstheme="minorHAnsi"/>
          <w:i/>
          <w:iCs/>
          <w:sz w:val="24"/>
          <w:szCs w:val="24"/>
        </w:rPr>
      </w:pPr>
      <w:r w:rsidRPr="00052025">
        <w:rPr>
          <w:rFonts w:asciiTheme="minorHAnsi" w:hAnsiTheme="minorHAnsi" w:cstheme="minorHAnsi"/>
          <w:i/>
          <w:iCs/>
          <w:sz w:val="24"/>
          <w:szCs w:val="24"/>
        </w:rPr>
        <w:t>What provider credentials would be required per content area described in the scope of work?</w:t>
      </w:r>
    </w:p>
    <w:p w14:paraId="14968335" w14:textId="1918460B" w:rsidR="003A2FFB" w:rsidRDefault="00500671" w:rsidP="00500671">
      <w:pPr>
        <w:pStyle w:val="ListParagraph"/>
        <w:spacing w:line="215" w:lineRule="auto"/>
        <w:ind w:left="1440"/>
        <w:jc w:val="both"/>
        <w:rPr>
          <w:rFonts w:asciiTheme="minorHAnsi" w:hAnsiTheme="minorHAnsi" w:cstheme="minorHAnsi"/>
          <w:sz w:val="24"/>
          <w:szCs w:val="24"/>
        </w:rPr>
      </w:pPr>
      <w:r w:rsidRPr="00500671">
        <w:rPr>
          <w:rFonts w:asciiTheme="minorHAnsi" w:hAnsiTheme="minorHAnsi" w:cstheme="minorHAnsi"/>
          <w:sz w:val="24"/>
          <w:szCs w:val="24"/>
        </w:rPr>
        <w:t>Response: Neither a section number nor page number of the RFP was referenced in the question</w:t>
      </w:r>
      <w:r>
        <w:rPr>
          <w:rFonts w:asciiTheme="minorHAnsi" w:hAnsiTheme="minorHAnsi" w:cstheme="minorHAnsi"/>
          <w:sz w:val="24"/>
          <w:szCs w:val="24"/>
        </w:rPr>
        <w:t xml:space="preserve">, nor is the word “credential” used in the </w:t>
      </w:r>
      <w:r w:rsidR="003A2FFB">
        <w:rPr>
          <w:rFonts w:asciiTheme="minorHAnsi" w:hAnsiTheme="minorHAnsi" w:cstheme="minorHAnsi"/>
          <w:sz w:val="24"/>
          <w:szCs w:val="24"/>
        </w:rPr>
        <w:t>RFP section “</w:t>
      </w:r>
      <w:r>
        <w:rPr>
          <w:rFonts w:asciiTheme="minorHAnsi" w:hAnsiTheme="minorHAnsi" w:cstheme="minorHAnsi"/>
          <w:sz w:val="24"/>
          <w:szCs w:val="24"/>
        </w:rPr>
        <w:t>Scope of Work</w:t>
      </w:r>
      <w:r w:rsidR="003A2FFB">
        <w:rPr>
          <w:rFonts w:asciiTheme="minorHAnsi" w:hAnsiTheme="minorHAnsi" w:cstheme="minorHAnsi"/>
          <w:sz w:val="24"/>
          <w:szCs w:val="24"/>
        </w:rPr>
        <w:t>”</w:t>
      </w:r>
      <w:r>
        <w:rPr>
          <w:rFonts w:asciiTheme="minorHAnsi" w:hAnsiTheme="minorHAnsi" w:cstheme="minorHAnsi"/>
          <w:sz w:val="24"/>
          <w:szCs w:val="24"/>
        </w:rPr>
        <w:t xml:space="preserve"> found within Section 2, B</w:t>
      </w:r>
      <w:r w:rsidRPr="00500671">
        <w:rPr>
          <w:rFonts w:asciiTheme="minorHAnsi" w:hAnsiTheme="minorHAnsi" w:cstheme="minorHAnsi"/>
          <w:sz w:val="24"/>
          <w:szCs w:val="24"/>
        </w:rPr>
        <w:t xml:space="preserve">. </w:t>
      </w:r>
    </w:p>
    <w:p w14:paraId="095FB58A" w14:textId="77777777" w:rsidR="003A2FFB" w:rsidRDefault="003A2FFB" w:rsidP="00500671">
      <w:pPr>
        <w:pStyle w:val="ListParagraph"/>
        <w:spacing w:line="215" w:lineRule="auto"/>
        <w:ind w:left="1440"/>
        <w:jc w:val="both"/>
        <w:rPr>
          <w:rFonts w:asciiTheme="minorHAnsi" w:hAnsiTheme="minorHAnsi" w:cstheme="minorHAnsi"/>
          <w:sz w:val="24"/>
          <w:szCs w:val="24"/>
        </w:rPr>
      </w:pPr>
    </w:p>
    <w:p w14:paraId="1AC0AA12" w14:textId="7EE76C92" w:rsidR="003B496E" w:rsidRDefault="00500671" w:rsidP="003B496E">
      <w:pPr>
        <w:pStyle w:val="ListParagraph"/>
        <w:spacing w:line="215" w:lineRule="auto"/>
        <w:ind w:left="1440"/>
        <w:jc w:val="both"/>
        <w:rPr>
          <w:rFonts w:asciiTheme="minorHAnsi" w:hAnsiTheme="minorHAnsi" w:cstheme="minorHAnsi"/>
          <w:b/>
          <w:bCs/>
          <w:sz w:val="24"/>
          <w:szCs w:val="24"/>
        </w:rPr>
      </w:pPr>
      <w:r w:rsidRPr="00500671">
        <w:rPr>
          <w:rFonts w:asciiTheme="minorHAnsi" w:hAnsiTheme="minorHAnsi" w:cstheme="minorHAnsi"/>
          <w:sz w:val="24"/>
          <w:szCs w:val="24"/>
        </w:rPr>
        <w:t>VR/OIB’s response is based on RFP Section</w:t>
      </w:r>
      <w:r>
        <w:rPr>
          <w:rFonts w:asciiTheme="minorHAnsi" w:hAnsiTheme="minorHAnsi" w:cstheme="minorHAnsi"/>
          <w:sz w:val="24"/>
          <w:szCs w:val="24"/>
        </w:rPr>
        <w:t xml:space="preserve"> </w:t>
      </w:r>
      <w:r w:rsidR="00491AC1">
        <w:rPr>
          <w:rFonts w:asciiTheme="minorHAnsi" w:hAnsiTheme="minorHAnsi" w:cstheme="minorHAnsi"/>
          <w:sz w:val="24"/>
          <w:szCs w:val="24"/>
        </w:rPr>
        <w:t>2</w:t>
      </w:r>
      <w:r>
        <w:rPr>
          <w:rFonts w:asciiTheme="minorHAnsi" w:hAnsiTheme="minorHAnsi" w:cstheme="minorHAnsi"/>
          <w:sz w:val="24"/>
          <w:szCs w:val="24"/>
        </w:rPr>
        <w:t xml:space="preserve">, </w:t>
      </w:r>
      <w:r w:rsidR="00491AC1">
        <w:rPr>
          <w:rFonts w:asciiTheme="minorHAnsi" w:hAnsiTheme="minorHAnsi" w:cstheme="minorHAnsi"/>
          <w:sz w:val="24"/>
          <w:szCs w:val="24"/>
        </w:rPr>
        <w:t>B, 5</w:t>
      </w:r>
      <w:r>
        <w:rPr>
          <w:rFonts w:asciiTheme="minorHAnsi" w:hAnsiTheme="minorHAnsi" w:cstheme="minorHAnsi"/>
          <w:sz w:val="24"/>
          <w:szCs w:val="24"/>
        </w:rPr>
        <w:t xml:space="preserve"> on page </w:t>
      </w:r>
      <w:r w:rsidR="00491AC1">
        <w:rPr>
          <w:rFonts w:asciiTheme="minorHAnsi" w:hAnsiTheme="minorHAnsi" w:cstheme="minorHAnsi"/>
          <w:sz w:val="24"/>
          <w:szCs w:val="24"/>
        </w:rPr>
        <w:t>9</w:t>
      </w:r>
      <w:r>
        <w:rPr>
          <w:rFonts w:asciiTheme="minorHAnsi" w:hAnsiTheme="minorHAnsi" w:cstheme="minorHAnsi"/>
          <w:sz w:val="24"/>
          <w:szCs w:val="24"/>
        </w:rPr>
        <w:t xml:space="preserve">. </w:t>
      </w:r>
      <w:r w:rsidR="00491AC1">
        <w:rPr>
          <w:rFonts w:asciiTheme="minorHAnsi" w:hAnsiTheme="minorHAnsi" w:cstheme="minorHAnsi"/>
          <w:sz w:val="24"/>
          <w:szCs w:val="24"/>
        </w:rPr>
        <w:t>“Qualified”</w:t>
      </w:r>
      <w:r>
        <w:rPr>
          <w:rFonts w:asciiTheme="minorHAnsi" w:hAnsiTheme="minorHAnsi" w:cstheme="minorHAnsi"/>
          <w:sz w:val="24"/>
          <w:szCs w:val="24"/>
        </w:rPr>
        <w:t xml:space="preserve"> shall include, but not limited to, a list of</w:t>
      </w:r>
      <w:r w:rsidR="003A2FFB">
        <w:rPr>
          <w:rFonts w:asciiTheme="minorHAnsi" w:hAnsiTheme="minorHAnsi" w:cstheme="minorHAnsi"/>
          <w:sz w:val="24"/>
          <w:szCs w:val="24"/>
        </w:rPr>
        <w:t xml:space="preserve"> degrees and certifications issued by completing a </w:t>
      </w:r>
      <w:r w:rsidR="001B195F">
        <w:rPr>
          <w:rFonts w:asciiTheme="minorHAnsi" w:hAnsiTheme="minorHAnsi" w:cstheme="minorHAnsi"/>
          <w:sz w:val="24"/>
          <w:szCs w:val="24"/>
        </w:rPr>
        <w:t xml:space="preserve">recognized </w:t>
      </w:r>
      <w:r w:rsidR="003A2FFB">
        <w:rPr>
          <w:rFonts w:asciiTheme="minorHAnsi" w:hAnsiTheme="minorHAnsi" w:cstheme="minorHAnsi"/>
          <w:sz w:val="24"/>
          <w:szCs w:val="24"/>
        </w:rPr>
        <w:t>course of study and successfully passing an assessment, or meeting</w:t>
      </w:r>
      <w:r w:rsidR="00491AC1">
        <w:rPr>
          <w:rFonts w:asciiTheme="minorHAnsi" w:hAnsiTheme="minorHAnsi" w:cstheme="minorHAnsi"/>
          <w:sz w:val="24"/>
          <w:szCs w:val="24"/>
        </w:rPr>
        <w:t xml:space="preserve"> acceptable industry standards</w:t>
      </w:r>
      <w:r w:rsidR="003A2FFB">
        <w:rPr>
          <w:rFonts w:asciiTheme="minorHAnsi" w:hAnsiTheme="minorHAnsi" w:cstheme="minorHAnsi"/>
          <w:sz w:val="24"/>
          <w:szCs w:val="24"/>
        </w:rPr>
        <w:t xml:space="preserve"> that verify competency, for all </w:t>
      </w:r>
      <w:r w:rsidR="00252BD5">
        <w:rPr>
          <w:rFonts w:asciiTheme="minorHAnsi" w:hAnsiTheme="minorHAnsi" w:cstheme="minorHAnsi"/>
          <w:sz w:val="24"/>
          <w:szCs w:val="24"/>
        </w:rPr>
        <w:t>Retreat</w:t>
      </w:r>
      <w:r w:rsidR="003A2FFB">
        <w:rPr>
          <w:rFonts w:asciiTheme="minorHAnsi" w:hAnsiTheme="minorHAnsi" w:cstheme="minorHAnsi"/>
          <w:sz w:val="24"/>
          <w:szCs w:val="24"/>
        </w:rPr>
        <w:t xml:space="preserve"> related skills that each vendor staff</w:t>
      </w:r>
      <w:r w:rsidR="00491AC1">
        <w:rPr>
          <w:rFonts w:asciiTheme="minorHAnsi" w:hAnsiTheme="minorHAnsi" w:cstheme="minorHAnsi"/>
          <w:sz w:val="24"/>
          <w:szCs w:val="24"/>
        </w:rPr>
        <w:t xml:space="preserve"> or outside professional</w:t>
      </w:r>
      <w:r w:rsidR="003A2FFB">
        <w:rPr>
          <w:rFonts w:asciiTheme="minorHAnsi" w:hAnsiTheme="minorHAnsi" w:cstheme="minorHAnsi"/>
          <w:sz w:val="24"/>
          <w:szCs w:val="24"/>
        </w:rPr>
        <w:t xml:space="preserve"> will be instructing.</w:t>
      </w:r>
      <w:r w:rsidR="003B496E">
        <w:rPr>
          <w:rFonts w:asciiTheme="minorHAnsi" w:hAnsiTheme="minorHAnsi" w:cstheme="minorHAnsi"/>
          <w:sz w:val="24"/>
          <w:szCs w:val="24"/>
        </w:rPr>
        <w:t xml:space="preserve"> </w:t>
      </w:r>
    </w:p>
    <w:p w14:paraId="13D896B2" w14:textId="77777777" w:rsidR="003B496E" w:rsidRDefault="003B496E" w:rsidP="003B496E">
      <w:pPr>
        <w:pStyle w:val="ListParagraph"/>
        <w:spacing w:line="215" w:lineRule="auto"/>
        <w:ind w:left="1440"/>
        <w:jc w:val="both"/>
        <w:rPr>
          <w:rFonts w:asciiTheme="minorHAnsi" w:hAnsiTheme="minorHAnsi" w:cstheme="minorHAnsi"/>
          <w:b/>
          <w:bCs/>
          <w:sz w:val="24"/>
          <w:szCs w:val="24"/>
        </w:rPr>
      </w:pPr>
    </w:p>
    <w:p w14:paraId="0667A09D" w14:textId="77777777" w:rsidR="00751114" w:rsidRPr="00114E68" w:rsidRDefault="00751114" w:rsidP="00751114">
      <w:pPr>
        <w:pStyle w:val="ListParagraph"/>
        <w:numPr>
          <w:ilvl w:val="0"/>
          <w:numId w:val="2"/>
        </w:numPr>
        <w:rPr>
          <w:rFonts w:asciiTheme="minorHAnsi" w:hAnsiTheme="minorHAnsi" w:cstheme="minorHAnsi"/>
          <w:i/>
          <w:iCs/>
          <w:sz w:val="24"/>
          <w:szCs w:val="24"/>
        </w:rPr>
      </w:pPr>
      <w:r w:rsidRPr="00751114">
        <w:rPr>
          <w:rFonts w:asciiTheme="minorHAnsi" w:hAnsiTheme="minorHAnsi" w:cstheme="minorHAnsi"/>
          <w:i/>
          <w:iCs/>
          <w:sz w:val="24"/>
          <w:szCs w:val="24"/>
        </w:rPr>
        <w:lastRenderedPageBreak/>
        <w:t>What are the criteria for you to reject a provider and for selecting an alternate provider?  What would be the impact on our negotiated contracted pricing for a replacement?</w:t>
      </w:r>
    </w:p>
    <w:p w14:paraId="252F96C5" w14:textId="763AADE3" w:rsidR="00114E68" w:rsidRDefault="00114E68" w:rsidP="00114E68">
      <w:pPr>
        <w:pStyle w:val="ListParagraph"/>
        <w:ind w:left="1440"/>
        <w:rPr>
          <w:rFonts w:asciiTheme="minorHAnsi" w:hAnsiTheme="minorHAnsi" w:cstheme="minorHAnsi"/>
          <w:sz w:val="24"/>
          <w:szCs w:val="24"/>
        </w:rPr>
      </w:pPr>
      <w:r w:rsidRPr="00114E68">
        <w:rPr>
          <w:rFonts w:asciiTheme="minorHAnsi" w:hAnsiTheme="minorHAnsi" w:cstheme="minorHAnsi"/>
          <w:sz w:val="24"/>
          <w:szCs w:val="24"/>
        </w:rPr>
        <w:t>Response: Neither a section number nor page number of the RFP was referenced in the question</w:t>
      </w:r>
      <w:r>
        <w:rPr>
          <w:rFonts w:asciiTheme="minorHAnsi" w:hAnsiTheme="minorHAnsi" w:cstheme="minorHAnsi"/>
          <w:sz w:val="24"/>
          <w:szCs w:val="24"/>
        </w:rPr>
        <w:t>.</w:t>
      </w:r>
    </w:p>
    <w:p w14:paraId="2DDA43AA" w14:textId="77777777" w:rsidR="00114E68" w:rsidRDefault="00114E68" w:rsidP="00114E68">
      <w:pPr>
        <w:pStyle w:val="ListParagraph"/>
        <w:ind w:left="1440"/>
        <w:rPr>
          <w:rFonts w:asciiTheme="minorHAnsi" w:hAnsiTheme="minorHAnsi" w:cstheme="minorHAnsi"/>
          <w:sz w:val="24"/>
          <w:szCs w:val="24"/>
        </w:rPr>
      </w:pPr>
    </w:p>
    <w:p w14:paraId="4632440B" w14:textId="364FF07E" w:rsidR="00114E68" w:rsidRDefault="00114E68" w:rsidP="00114E68">
      <w:pPr>
        <w:pStyle w:val="ListParagraph"/>
        <w:ind w:left="1440"/>
        <w:rPr>
          <w:rFonts w:asciiTheme="minorHAnsi" w:hAnsiTheme="minorHAnsi" w:cstheme="minorHAnsi"/>
          <w:sz w:val="24"/>
          <w:szCs w:val="24"/>
        </w:rPr>
      </w:pPr>
      <w:r>
        <w:rPr>
          <w:rFonts w:asciiTheme="minorHAnsi" w:hAnsiTheme="minorHAnsi" w:cstheme="minorHAnsi"/>
          <w:sz w:val="24"/>
          <w:szCs w:val="24"/>
        </w:rPr>
        <w:t xml:space="preserve">Please see </w:t>
      </w:r>
      <w:r w:rsidR="008C0E34">
        <w:rPr>
          <w:rFonts w:asciiTheme="minorHAnsi" w:hAnsiTheme="minorHAnsi" w:cstheme="minorHAnsi"/>
          <w:sz w:val="24"/>
          <w:szCs w:val="24"/>
        </w:rPr>
        <w:t xml:space="preserve">the response to question 3 above. In the event VR/OIB, at its sole discretion, rejects a vendor staff or outside professional, the vendor shall submit an alternate for consideration. Only after VR/OIB’s approval shall the vendor begin best price negotiations and enter a contract with an outside professional. VR/OIB shall not be responsible for any expenses related to a rejected outside professional. </w:t>
      </w:r>
    </w:p>
    <w:p w14:paraId="418FD5E0" w14:textId="77777777" w:rsidR="00114E68" w:rsidRDefault="00114E68" w:rsidP="00114E68">
      <w:pPr>
        <w:pStyle w:val="ListParagraph"/>
        <w:ind w:left="1440"/>
        <w:rPr>
          <w:rFonts w:asciiTheme="minorHAnsi" w:hAnsiTheme="minorHAnsi" w:cstheme="minorHAnsi"/>
          <w:sz w:val="24"/>
          <w:szCs w:val="24"/>
        </w:rPr>
      </w:pPr>
    </w:p>
    <w:p w14:paraId="738A7115" w14:textId="227BB3C9" w:rsidR="00114E68" w:rsidRPr="00114E68" w:rsidRDefault="000173C1" w:rsidP="00114E68">
      <w:pPr>
        <w:pStyle w:val="ListParagraph"/>
        <w:numPr>
          <w:ilvl w:val="0"/>
          <w:numId w:val="2"/>
        </w:numPr>
        <w:rPr>
          <w:rFonts w:asciiTheme="minorHAnsi" w:hAnsiTheme="minorHAnsi" w:cstheme="minorHAnsi"/>
          <w:sz w:val="24"/>
          <w:szCs w:val="24"/>
        </w:rPr>
      </w:pPr>
      <w:r w:rsidRPr="000173C1">
        <w:rPr>
          <w:rFonts w:asciiTheme="minorHAnsi" w:hAnsiTheme="minorHAnsi" w:cstheme="minorHAnsi"/>
          <w:sz w:val="24"/>
          <w:szCs w:val="24"/>
        </w:rPr>
        <w:t xml:space="preserve">What is the process and timeline for determining cancellation of an event?  Is there a minimum number of attendees required at each </w:t>
      </w:r>
      <w:r w:rsidR="00252BD5">
        <w:rPr>
          <w:rFonts w:asciiTheme="minorHAnsi" w:hAnsiTheme="minorHAnsi" w:cstheme="minorHAnsi"/>
          <w:sz w:val="24"/>
          <w:szCs w:val="24"/>
        </w:rPr>
        <w:t>Retreat</w:t>
      </w:r>
      <w:r w:rsidRPr="000173C1">
        <w:rPr>
          <w:rFonts w:asciiTheme="minorHAnsi" w:hAnsiTheme="minorHAnsi" w:cstheme="minorHAnsi"/>
          <w:sz w:val="24"/>
          <w:szCs w:val="24"/>
        </w:rPr>
        <w:t xml:space="preserve">?  If the minimum number is not met, who will be responsible for determining that the </w:t>
      </w:r>
      <w:r w:rsidR="00252BD5">
        <w:rPr>
          <w:rFonts w:asciiTheme="minorHAnsi" w:hAnsiTheme="minorHAnsi" w:cstheme="minorHAnsi"/>
          <w:sz w:val="24"/>
          <w:szCs w:val="24"/>
        </w:rPr>
        <w:t>Retreat</w:t>
      </w:r>
      <w:r w:rsidRPr="000173C1">
        <w:rPr>
          <w:rFonts w:asciiTheme="minorHAnsi" w:hAnsiTheme="minorHAnsi" w:cstheme="minorHAnsi"/>
          <w:sz w:val="24"/>
          <w:szCs w:val="24"/>
        </w:rPr>
        <w:t xml:space="preserve"> will be cancelled?</w:t>
      </w:r>
    </w:p>
    <w:p w14:paraId="62D3344D" w14:textId="17ECC527" w:rsidR="003B496E" w:rsidRDefault="00EF0CC9" w:rsidP="00EF0CC9">
      <w:pPr>
        <w:pStyle w:val="ListParagraph"/>
        <w:spacing w:line="215" w:lineRule="auto"/>
        <w:ind w:left="1440"/>
        <w:jc w:val="both"/>
        <w:rPr>
          <w:rFonts w:asciiTheme="minorHAnsi" w:hAnsiTheme="minorHAnsi" w:cstheme="minorHAnsi"/>
          <w:sz w:val="24"/>
          <w:szCs w:val="24"/>
        </w:rPr>
      </w:pPr>
      <w:r w:rsidRPr="00EF0CC9">
        <w:rPr>
          <w:rFonts w:asciiTheme="minorHAnsi" w:hAnsiTheme="minorHAnsi" w:cstheme="minorHAnsi"/>
          <w:sz w:val="24"/>
          <w:szCs w:val="24"/>
        </w:rPr>
        <w:t>Response: Neither a section number nor page number of the RFP was referenced in the question.</w:t>
      </w:r>
    </w:p>
    <w:p w14:paraId="4559DAE7" w14:textId="77777777" w:rsidR="00EF0CC9" w:rsidRDefault="00EF0CC9" w:rsidP="00EF0CC9">
      <w:pPr>
        <w:pStyle w:val="ListParagraph"/>
        <w:spacing w:line="215" w:lineRule="auto"/>
        <w:ind w:left="1440"/>
        <w:jc w:val="both"/>
        <w:rPr>
          <w:rFonts w:asciiTheme="minorHAnsi" w:hAnsiTheme="minorHAnsi" w:cstheme="minorHAnsi"/>
          <w:sz w:val="24"/>
          <w:szCs w:val="24"/>
        </w:rPr>
      </w:pPr>
    </w:p>
    <w:p w14:paraId="775F3FD5" w14:textId="0A62463C" w:rsidR="00EF0CC9" w:rsidRDefault="00EF0CC9" w:rsidP="00EF0CC9">
      <w:pPr>
        <w:pStyle w:val="ListParagraph"/>
        <w:spacing w:line="215" w:lineRule="auto"/>
        <w:ind w:left="1440"/>
        <w:jc w:val="both"/>
        <w:rPr>
          <w:rFonts w:asciiTheme="minorHAnsi" w:hAnsiTheme="minorHAnsi" w:cstheme="minorHAnsi"/>
          <w:sz w:val="24"/>
          <w:szCs w:val="24"/>
        </w:rPr>
      </w:pPr>
      <w:r>
        <w:rPr>
          <w:rFonts w:asciiTheme="minorHAnsi" w:hAnsiTheme="minorHAnsi" w:cstheme="minorHAnsi"/>
          <w:sz w:val="24"/>
          <w:szCs w:val="24"/>
        </w:rPr>
        <w:t xml:space="preserve">Please see RFP Section 2, B, 8 </w:t>
      </w:r>
      <w:r w:rsidR="00FD3889">
        <w:rPr>
          <w:rFonts w:asciiTheme="minorHAnsi" w:hAnsiTheme="minorHAnsi" w:cstheme="minorHAnsi"/>
          <w:sz w:val="24"/>
          <w:szCs w:val="24"/>
        </w:rPr>
        <w:t xml:space="preserve">on page 10 regarding the number of potential </w:t>
      </w:r>
      <w:r w:rsidR="00252BD5">
        <w:rPr>
          <w:rFonts w:asciiTheme="minorHAnsi" w:hAnsiTheme="minorHAnsi" w:cstheme="minorHAnsi"/>
          <w:sz w:val="24"/>
          <w:szCs w:val="24"/>
        </w:rPr>
        <w:t>Retreat</w:t>
      </w:r>
      <w:r w:rsidR="00FD3889">
        <w:rPr>
          <w:rFonts w:asciiTheme="minorHAnsi" w:hAnsiTheme="minorHAnsi" w:cstheme="minorHAnsi"/>
          <w:sz w:val="24"/>
          <w:szCs w:val="24"/>
        </w:rPr>
        <w:t xml:space="preserve"> participants that shall be submitted by the vendor.</w:t>
      </w:r>
      <w:r>
        <w:rPr>
          <w:rFonts w:asciiTheme="minorHAnsi" w:hAnsiTheme="minorHAnsi" w:cstheme="minorHAnsi"/>
          <w:sz w:val="24"/>
          <w:szCs w:val="24"/>
        </w:rPr>
        <w:t xml:space="preserve"> To date, no </w:t>
      </w:r>
      <w:r w:rsidR="00252BD5">
        <w:rPr>
          <w:rFonts w:asciiTheme="minorHAnsi" w:hAnsiTheme="minorHAnsi" w:cstheme="minorHAnsi"/>
          <w:sz w:val="24"/>
          <w:szCs w:val="24"/>
        </w:rPr>
        <w:t>Retreat</w:t>
      </w:r>
      <w:r>
        <w:rPr>
          <w:rFonts w:asciiTheme="minorHAnsi" w:hAnsiTheme="minorHAnsi" w:cstheme="minorHAnsi"/>
          <w:sz w:val="24"/>
          <w:szCs w:val="24"/>
        </w:rPr>
        <w:t xml:space="preserve"> event has been cancelled for any reason.</w:t>
      </w:r>
      <w:r w:rsidR="00FD3889">
        <w:rPr>
          <w:rFonts w:asciiTheme="minorHAnsi" w:hAnsiTheme="minorHAnsi" w:cstheme="minorHAnsi"/>
          <w:sz w:val="24"/>
          <w:szCs w:val="24"/>
        </w:rPr>
        <w:t xml:space="preserve"> If there are extenuating circumstances</w:t>
      </w:r>
      <w:r w:rsidR="00EC3D6D">
        <w:rPr>
          <w:rFonts w:asciiTheme="minorHAnsi" w:hAnsiTheme="minorHAnsi" w:cstheme="minorHAnsi"/>
          <w:sz w:val="24"/>
          <w:szCs w:val="24"/>
        </w:rPr>
        <w:t xml:space="preserve"> beyond the reasonable control of SB/OIB or the vendor</w:t>
      </w:r>
      <w:r w:rsidR="00FD3889">
        <w:rPr>
          <w:rFonts w:asciiTheme="minorHAnsi" w:hAnsiTheme="minorHAnsi" w:cstheme="minorHAnsi"/>
          <w:sz w:val="24"/>
          <w:szCs w:val="24"/>
        </w:rPr>
        <w:t xml:space="preserve"> that may be cause for cancellation</w:t>
      </w:r>
      <w:r w:rsidR="00B654A4">
        <w:rPr>
          <w:rFonts w:asciiTheme="minorHAnsi" w:hAnsiTheme="minorHAnsi" w:cstheme="minorHAnsi"/>
          <w:sz w:val="24"/>
          <w:szCs w:val="24"/>
        </w:rPr>
        <w:t xml:space="preserve"> or otherwise changing the conduct of an event</w:t>
      </w:r>
      <w:r w:rsidR="00FD3889">
        <w:rPr>
          <w:rFonts w:asciiTheme="minorHAnsi" w:hAnsiTheme="minorHAnsi" w:cstheme="minorHAnsi"/>
          <w:sz w:val="24"/>
          <w:szCs w:val="24"/>
        </w:rPr>
        <w:t xml:space="preserve">, </w:t>
      </w:r>
      <w:r w:rsidR="00B654A4">
        <w:rPr>
          <w:rFonts w:asciiTheme="minorHAnsi" w:hAnsiTheme="minorHAnsi" w:cstheme="minorHAnsi"/>
          <w:sz w:val="24"/>
          <w:szCs w:val="24"/>
        </w:rPr>
        <w:t xml:space="preserve">VR/OIB shall have sole authority to cancel, postpone or modify </w:t>
      </w:r>
      <w:r w:rsidR="00B904F4">
        <w:rPr>
          <w:rFonts w:asciiTheme="minorHAnsi" w:hAnsiTheme="minorHAnsi" w:cstheme="minorHAnsi"/>
          <w:sz w:val="24"/>
          <w:szCs w:val="24"/>
        </w:rPr>
        <w:t>an</w:t>
      </w:r>
      <w:r w:rsidR="00B654A4">
        <w:rPr>
          <w:rFonts w:asciiTheme="minorHAnsi" w:hAnsiTheme="minorHAnsi" w:cstheme="minorHAnsi"/>
          <w:sz w:val="24"/>
          <w:szCs w:val="24"/>
        </w:rPr>
        <w:t xml:space="preserve"> event.</w:t>
      </w:r>
    </w:p>
    <w:p w14:paraId="7013E996" w14:textId="77777777" w:rsidR="00201540" w:rsidRDefault="00201540" w:rsidP="00EF0CC9">
      <w:pPr>
        <w:pStyle w:val="ListParagraph"/>
        <w:spacing w:line="215" w:lineRule="auto"/>
        <w:ind w:left="1440"/>
        <w:jc w:val="both"/>
        <w:rPr>
          <w:rFonts w:asciiTheme="minorHAnsi" w:hAnsiTheme="minorHAnsi" w:cstheme="minorHAnsi"/>
          <w:sz w:val="24"/>
          <w:szCs w:val="24"/>
        </w:rPr>
      </w:pPr>
    </w:p>
    <w:p w14:paraId="5827BFC6" w14:textId="77777777" w:rsidR="00201540" w:rsidRDefault="00201540" w:rsidP="00201540">
      <w:pPr>
        <w:pStyle w:val="ListParagraph"/>
        <w:numPr>
          <w:ilvl w:val="0"/>
          <w:numId w:val="2"/>
        </w:numPr>
        <w:spacing w:line="215" w:lineRule="auto"/>
        <w:jc w:val="both"/>
        <w:rPr>
          <w:rFonts w:asciiTheme="minorHAnsi" w:hAnsiTheme="minorHAnsi" w:cstheme="minorHAnsi"/>
          <w:i/>
          <w:iCs/>
          <w:sz w:val="24"/>
          <w:szCs w:val="24"/>
        </w:rPr>
      </w:pPr>
      <w:r w:rsidRPr="00201540">
        <w:rPr>
          <w:rFonts w:asciiTheme="minorHAnsi" w:hAnsiTheme="minorHAnsi" w:cstheme="minorHAnsi"/>
          <w:i/>
          <w:iCs/>
          <w:sz w:val="24"/>
          <w:szCs w:val="24"/>
        </w:rPr>
        <w:t>Due to the marketing and outreach restrictions, what is the vendors obligation to ensure the minimum number of attendees is met?</w:t>
      </w:r>
    </w:p>
    <w:p w14:paraId="0093AEEC" w14:textId="1F6DF39E" w:rsidR="00201540" w:rsidRDefault="00201540" w:rsidP="00201540">
      <w:pPr>
        <w:pStyle w:val="ListParagraph"/>
        <w:spacing w:line="215" w:lineRule="auto"/>
        <w:ind w:left="1440"/>
        <w:jc w:val="both"/>
        <w:rPr>
          <w:rFonts w:asciiTheme="minorHAnsi" w:hAnsiTheme="minorHAnsi" w:cstheme="minorHAnsi"/>
          <w:sz w:val="24"/>
          <w:szCs w:val="24"/>
        </w:rPr>
      </w:pPr>
      <w:r w:rsidRPr="00201540">
        <w:rPr>
          <w:rFonts w:asciiTheme="minorHAnsi" w:hAnsiTheme="minorHAnsi" w:cstheme="minorHAnsi"/>
          <w:sz w:val="24"/>
          <w:szCs w:val="24"/>
        </w:rPr>
        <w:t>Response: Neither a section number nor page number of the RFP was referenced in the question.</w:t>
      </w:r>
    </w:p>
    <w:p w14:paraId="33720C4D" w14:textId="77777777" w:rsidR="00201540" w:rsidRDefault="00201540" w:rsidP="00201540">
      <w:pPr>
        <w:pStyle w:val="ListParagraph"/>
        <w:spacing w:line="215" w:lineRule="auto"/>
        <w:ind w:left="1440"/>
        <w:jc w:val="both"/>
        <w:rPr>
          <w:rFonts w:asciiTheme="minorHAnsi" w:hAnsiTheme="minorHAnsi" w:cstheme="minorHAnsi"/>
          <w:sz w:val="24"/>
          <w:szCs w:val="24"/>
        </w:rPr>
      </w:pPr>
    </w:p>
    <w:p w14:paraId="43A373E9" w14:textId="46938068" w:rsidR="00201540" w:rsidRDefault="00201540" w:rsidP="00201540">
      <w:pPr>
        <w:pStyle w:val="ListParagraph"/>
        <w:spacing w:line="215" w:lineRule="auto"/>
        <w:ind w:left="1440"/>
        <w:jc w:val="both"/>
        <w:rPr>
          <w:rFonts w:asciiTheme="minorHAnsi" w:hAnsiTheme="minorHAnsi" w:cstheme="minorHAnsi"/>
          <w:sz w:val="24"/>
          <w:szCs w:val="24"/>
        </w:rPr>
      </w:pPr>
      <w:r>
        <w:rPr>
          <w:rFonts w:asciiTheme="minorHAnsi" w:hAnsiTheme="minorHAnsi" w:cstheme="minorHAnsi"/>
          <w:sz w:val="24"/>
          <w:szCs w:val="24"/>
        </w:rPr>
        <w:t xml:space="preserve">Please see RFP Section </w:t>
      </w:r>
      <w:r w:rsidR="00790B19">
        <w:rPr>
          <w:rFonts w:asciiTheme="minorHAnsi" w:hAnsiTheme="minorHAnsi" w:cstheme="minorHAnsi"/>
          <w:sz w:val="24"/>
          <w:szCs w:val="24"/>
        </w:rPr>
        <w:t>2, B, 7 that</w:t>
      </w:r>
      <w:r w:rsidR="00D07BDF">
        <w:rPr>
          <w:rFonts w:asciiTheme="minorHAnsi" w:hAnsiTheme="minorHAnsi" w:cstheme="minorHAnsi"/>
          <w:sz w:val="24"/>
          <w:szCs w:val="24"/>
        </w:rPr>
        <w:t xml:space="preserve"> begins on page 9 which</w:t>
      </w:r>
      <w:r w:rsidR="00790B19">
        <w:rPr>
          <w:rFonts w:asciiTheme="minorHAnsi" w:hAnsiTheme="minorHAnsi" w:cstheme="minorHAnsi"/>
          <w:sz w:val="24"/>
          <w:szCs w:val="24"/>
        </w:rPr>
        <w:t xml:space="preserve"> defines </w:t>
      </w:r>
      <w:r w:rsidR="002837B0">
        <w:rPr>
          <w:rFonts w:asciiTheme="minorHAnsi" w:hAnsiTheme="minorHAnsi" w:cstheme="minorHAnsi"/>
          <w:sz w:val="24"/>
          <w:szCs w:val="24"/>
        </w:rPr>
        <w:t>several</w:t>
      </w:r>
      <w:r w:rsidR="002447C6">
        <w:rPr>
          <w:rFonts w:asciiTheme="minorHAnsi" w:hAnsiTheme="minorHAnsi" w:cstheme="minorHAnsi"/>
          <w:sz w:val="24"/>
          <w:szCs w:val="24"/>
        </w:rPr>
        <w:t xml:space="preserve"> </w:t>
      </w:r>
      <w:r w:rsidR="002837B0">
        <w:rPr>
          <w:rFonts w:asciiTheme="minorHAnsi" w:hAnsiTheme="minorHAnsi" w:cstheme="minorHAnsi"/>
          <w:sz w:val="24"/>
          <w:szCs w:val="24"/>
        </w:rPr>
        <w:t xml:space="preserve">expanded </w:t>
      </w:r>
      <w:r w:rsidR="00790B19">
        <w:rPr>
          <w:rFonts w:asciiTheme="minorHAnsi" w:hAnsiTheme="minorHAnsi" w:cstheme="minorHAnsi"/>
          <w:sz w:val="24"/>
          <w:szCs w:val="24"/>
        </w:rPr>
        <w:t xml:space="preserve">marketing opportunities a vendor may use to solicit participants including, but not limited to, approved marketing materials, </w:t>
      </w:r>
      <w:r w:rsidR="002447C6">
        <w:rPr>
          <w:rFonts w:asciiTheme="minorHAnsi" w:hAnsiTheme="minorHAnsi" w:cstheme="minorHAnsi"/>
          <w:sz w:val="24"/>
          <w:szCs w:val="24"/>
        </w:rPr>
        <w:t xml:space="preserve">vendor and VR/OIB </w:t>
      </w:r>
      <w:r w:rsidR="00790B19">
        <w:rPr>
          <w:rFonts w:asciiTheme="minorHAnsi" w:hAnsiTheme="minorHAnsi" w:cstheme="minorHAnsi"/>
          <w:sz w:val="24"/>
          <w:szCs w:val="24"/>
        </w:rPr>
        <w:t xml:space="preserve">website and social media posts, email blasts to current and potential VR/OIB </w:t>
      </w:r>
      <w:r w:rsidR="002447C6">
        <w:rPr>
          <w:rFonts w:asciiTheme="minorHAnsi" w:hAnsiTheme="minorHAnsi" w:cstheme="minorHAnsi"/>
          <w:sz w:val="24"/>
          <w:szCs w:val="24"/>
        </w:rPr>
        <w:t>participants and</w:t>
      </w:r>
      <w:r w:rsidR="00790B19">
        <w:rPr>
          <w:rFonts w:asciiTheme="minorHAnsi" w:hAnsiTheme="minorHAnsi" w:cstheme="minorHAnsi"/>
          <w:sz w:val="24"/>
          <w:szCs w:val="24"/>
        </w:rPr>
        <w:t xml:space="preserve"> contacting other outside entities. VR/OIB believes </w:t>
      </w:r>
      <w:r w:rsidR="002447C6">
        <w:rPr>
          <w:rFonts w:asciiTheme="minorHAnsi" w:hAnsiTheme="minorHAnsi" w:cstheme="minorHAnsi"/>
          <w:sz w:val="24"/>
          <w:szCs w:val="24"/>
        </w:rPr>
        <w:t>th</w:t>
      </w:r>
      <w:r w:rsidR="00A47937">
        <w:rPr>
          <w:rFonts w:asciiTheme="minorHAnsi" w:hAnsiTheme="minorHAnsi" w:cstheme="minorHAnsi"/>
          <w:sz w:val="24"/>
          <w:szCs w:val="24"/>
        </w:rPr>
        <w:t>is</w:t>
      </w:r>
      <w:r w:rsidR="002447C6">
        <w:rPr>
          <w:rFonts w:asciiTheme="minorHAnsi" w:hAnsiTheme="minorHAnsi" w:cstheme="minorHAnsi"/>
          <w:sz w:val="24"/>
          <w:szCs w:val="24"/>
        </w:rPr>
        <w:t xml:space="preserve"> expanded</w:t>
      </w:r>
      <w:r w:rsidR="00790B19">
        <w:rPr>
          <w:rFonts w:asciiTheme="minorHAnsi" w:hAnsiTheme="minorHAnsi" w:cstheme="minorHAnsi"/>
          <w:sz w:val="24"/>
          <w:szCs w:val="24"/>
        </w:rPr>
        <w:t xml:space="preserve"> </w:t>
      </w:r>
      <w:r w:rsidR="00A47937">
        <w:rPr>
          <w:rFonts w:asciiTheme="minorHAnsi" w:hAnsiTheme="minorHAnsi" w:cstheme="minorHAnsi"/>
          <w:sz w:val="24"/>
          <w:szCs w:val="24"/>
        </w:rPr>
        <w:t xml:space="preserve">number of </w:t>
      </w:r>
      <w:r w:rsidR="00790B19">
        <w:rPr>
          <w:rFonts w:asciiTheme="minorHAnsi" w:hAnsiTheme="minorHAnsi" w:cstheme="minorHAnsi"/>
          <w:sz w:val="24"/>
          <w:szCs w:val="24"/>
        </w:rPr>
        <w:t xml:space="preserve">avenues will result in </w:t>
      </w:r>
      <w:r w:rsidR="006B0B66">
        <w:rPr>
          <w:rFonts w:asciiTheme="minorHAnsi" w:hAnsiTheme="minorHAnsi" w:cstheme="minorHAnsi"/>
          <w:sz w:val="24"/>
          <w:szCs w:val="24"/>
        </w:rPr>
        <w:t>a</w:t>
      </w:r>
      <w:r w:rsidR="002447C6">
        <w:rPr>
          <w:rFonts w:asciiTheme="minorHAnsi" w:hAnsiTheme="minorHAnsi" w:cstheme="minorHAnsi"/>
          <w:sz w:val="24"/>
          <w:szCs w:val="24"/>
        </w:rPr>
        <w:t xml:space="preserve"> greater </w:t>
      </w:r>
      <w:r w:rsidR="006B0B66">
        <w:rPr>
          <w:rFonts w:asciiTheme="minorHAnsi" w:hAnsiTheme="minorHAnsi" w:cstheme="minorHAnsi"/>
          <w:sz w:val="24"/>
          <w:szCs w:val="24"/>
        </w:rPr>
        <w:t xml:space="preserve">outreach and achieve </w:t>
      </w:r>
      <w:r w:rsidR="00790B19">
        <w:rPr>
          <w:rFonts w:asciiTheme="minorHAnsi" w:hAnsiTheme="minorHAnsi" w:cstheme="minorHAnsi"/>
          <w:sz w:val="24"/>
          <w:szCs w:val="24"/>
        </w:rPr>
        <w:t xml:space="preserve">the desired number of </w:t>
      </w:r>
      <w:r w:rsidR="00252BD5">
        <w:rPr>
          <w:rFonts w:asciiTheme="minorHAnsi" w:hAnsiTheme="minorHAnsi" w:cstheme="minorHAnsi"/>
          <w:sz w:val="24"/>
          <w:szCs w:val="24"/>
        </w:rPr>
        <w:t>Retreat</w:t>
      </w:r>
      <w:r w:rsidR="00790B19">
        <w:rPr>
          <w:rFonts w:asciiTheme="minorHAnsi" w:hAnsiTheme="minorHAnsi" w:cstheme="minorHAnsi"/>
          <w:sz w:val="24"/>
          <w:szCs w:val="24"/>
        </w:rPr>
        <w:t xml:space="preserve"> attendees.</w:t>
      </w:r>
    </w:p>
    <w:p w14:paraId="67F8F253" w14:textId="77777777" w:rsidR="00D53974" w:rsidRPr="00D53974" w:rsidRDefault="00D53974" w:rsidP="00D53974">
      <w:pPr>
        <w:spacing w:line="215" w:lineRule="auto"/>
        <w:jc w:val="both"/>
        <w:rPr>
          <w:rFonts w:asciiTheme="minorHAnsi" w:hAnsiTheme="minorHAnsi" w:cstheme="minorHAnsi"/>
          <w:sz w:val="24"/>
          <w:szCs w:val="24"/>
        </w:rPr>
      </w:pPr>
    </w:p>
    <w:p w14:paraId="00D41568" w14:textId="12E1B802" w:rsidR="00790B19" w:rsidRDefault="00E91DC3" w:rsidP="00790B19">
      <w:pPr>
        <w:pStyle w:val="ListParagraph"/>
        <w:numPr>
          <w:ilvl w:val="0"/>
          <w:numId w:val="2"/>
        </w:numPr>
        <w:spacing w:line="215" w:lineRule="auto"/>
        <w:jc w:val="both"/>
        <w:rPr>
          <w:rFonts w:asciiTheme="minorHAnsi" w:hAnsiTheme="minorHAnsi" w:cstheme="minorHAnsi"/>
          <w:i/>
          <w:iCs/>
          <w:sz w:val="24"/>
          <w:szCs w:val="24"/>
        </w:rPr>
      </w:pPr>
      <w:r w:rsidRPr="00E91DC3">
        <w:rPr>
          <w:rFonts w:asciiTheme="minorHAnsi" w:hAnsiTheme="minorHAnsi" w:cstheme="minorHAnsi"/>
          <w:i/>
          <w:iCs/>
          <w:sz w:val="24"/>
          <w:szCs w:val="24"/>
        </w:rPr>
        <w:t>What is the timeline for approval by OIB/VR once marketing materials are submitted for approval?</w:t>
      </w:r>
    </w:p>
    <w:p w14:paraId="25645405" w14:textId="2141C909" w:rsidR="00E91DC3" w:rsidRDefault="00E91DC3" w:rsidP="00E91DC3">
      <w:pPr>
        <w:pStyle w:val="ListParagraph"/>
        <w:spacing w:line="215" w:lineRule="auto"/>
        <w:ind w:left="1440"/>
        <w:jc w:val="both"/>
        <w:rPr>
          <w:rFonts w:asciiTheme="minorHAnsi" w:hAnsiTheme="minorHAnsi" w:cstheme="minorHAnsi"/>
          <w:sz w:val="24"/>
          <w:szCs w:val="24"/>
        </w:rPr>
      </w:pPr>
      <w:r w:rsidRPr="00E91DC3">
        <w:rPr>
          <w:rFonts w:asciiTheme="minorHAnsi" w:hAnsiTheme="minorHAnsi" w:cstheme="minorHAnsi"/>
          <w:sz w:val="24"/>
          <w:szCs w:val="24"/>
        </w:rPr>
        <w:t>Response: Neither a section number nor page number of the RFP was referenced in the question.</w:t>
      </w:r>
    </w:p>
    <w:p w14:paraId="416D83CB" w14:textId="77777777" w:rsidR="00E91DC3" w:rsidRDefault="00E91DC3" w:rsidP="00E91DC3">
      <w:pPr>
        <w:pStyle w:val="ListParagraph"/>
        <w:spacing w:line="215" w:lineRule="auto"/>
        <w:ind w:left="1440"/>
        <w:jc w:val="both"/>
        <w:rPr>
          <w:rFonts w:asciiTheme="minorHAnsi" w:hAnsiTheme="minorHAnsi" w:cstheme="minorHAnsi"/>
          <w:sz w:val="24"/>
          <w:szCs w:val="24"/>
        </w:rPr>
      </w:pPr>
    </w:p>
    <w:p w14:paraId="5DC62167" w14:textId="197D3375" w:rsidR="00E91DC3" w:rsidRDefault="00E91DC3" w:rsidP="00E91DC3">
      <w:pPr>
        <w:pStyle w:val="ListParagraph"/>
        <w:spacing w:line="215" w:lineRule="auto"/>
        <w:ind w:left="1440"/>
        <w:jc w:val="both"/>
        <w:rPr>
          <w:rFonts w:asciiTheme="minorHAnsi" w:hAnsiTheme="minorHAnsi" w:cstheme="minorHAnsi"/>
          <w:sz w:val="24"/>
          <w:szCs w:val="24"/>
        </w:rPr>
      </w:pPr>
      <w:r>
        <w:rPr>
          <w:rFonts w:asciiTheme="minorHAnsi" w:hAnsiTheme="minorHAnsi" w:cstheme="minorHAnsi"/>
          <w:sz w:val="24"/>
          <w:szCs w:val="24"/>
        </w:rPr>
        <w:t>Please see RFP Section 2, B, 7,</w:t>
      </w:r>
      <w:r w:rsidR="005A7E26">
        <w:rPr>
          <w:rFonts w:asciiTheme="minorHAnsi" w:hAnsiTheme="minorHAnsi" w:cstheme="minorHAnsi"/>
          <w:sz w:val="24"/>
          <w:szCs w:val="24"/>
        </w:rPr>
        <w:t xml:space="preserve"> a,</w:t>
      </w:r>
      <w:r w:rsidR="00D53974">
        <w:rPr>
          <w:rFonts w:asciiTheme="minorHAnsi" w:hAnsiTheme="minorHAnsi" w:cstheme="minorHAnsi"/>
          <w:sz w:val="24"/>
          <w:szCs w:val="24"/>
        </w:rPr>
        <w:t xml:space="preserve"> i </w:t>
      </w:r>
      <w:r w:rsidR="005A7E26">
        <w:rPr>
          <w:rFonts w:asciiTheme="minorHAnsi" w:hAnsiTheme="minorHAnsi" w:cstheme="minorHAnsi"/>
          <w:sz w:val="24"/>
          <w:szCs w:val="24"/>
        </w:rPr>
        <w:t xml:space="preserve">on page 10 </w:t>
      </w:r>
      <w:r w:rsidR="00FA0B04">
        <w:rPr>
          <w:rFonts w:asciiTheme="minorHAnsi" w:hAnsiTheme="minorHAnsi" w:cstheme="minorHAnsi"/>
          <w:sz w:val="24"/>
          <w:szCs w:val="24"/>
        </w:rPr>
        <w:t xml:space="preserve">for the timeline when draft marketing materials are to be submitted to VR/OIB. </w:t>
      </w:r>
      <w:bookmarkStart w:id="1" w:name="_Hlk137812440"/>
      <w:r w:rsidR="00FA0B04">
        <w:rPr>
          <w:rFonts w:asciiTheme="minorHAnsi" w:hAnsiTheme="minorHAnsi" w:cstheme="minorHAnsi"/>
          <w:sz w:val="24"/>
          <w:szCs w:val="24"/>
        </w:rPr>
        <w:t xml:space="preserve">VR/OIB anticipates taking no more than 3 business days to review and provide comments or approval. Obviously the sooner the marketing materials are submitted to VR/OIB for review, the sooner comments or approval can be provided. </w:t>
      </w:r>
      <w:bookmarkEnd w:id="1"/>
    </w:p>
    <w:p w14:paraId="08DF5599" w14:textId="77777777" w:rsidR="00633BF1" w:rsidRPr="00633BF1" w:rsidRDefault="00633BF1" w:rsidP="00633BF1">
      <w:pPr>
        <w:spacing w:line="215" w:lineRule="auto"/>
        <w:jc w:val="both"/>
        <w:rPr>
          <w:rFonts w:asciiTheme="minorHAnsi" w:hAnsiTheme="minorHAnsi" w:cstheme="minorHAnsi"/>
          <w:sz w:val="24"/>
          <w:szCs w:val="24"/>
        </w:rPr>
      </w:pPr>
    </w:p>
    <w:p w14:paraId="21459A71" w14:textId="67B09BC1" w:rsidR="00633BF1" w:rsidRPr="00633BF1" w:rsidRDefault="00633BF1" w:rsidP="00633BF1">
      <w:pPr>
        <w:pStyle w:val="ListParagraph"/>
        <w:numPr>
          <w:ilvl w:val="0"/>
          <w:numId w:val="2"/>
        </w:numPr>
        <w:spacing w:line="215" w:lineRule="auto"/>
        <w:jc w:val="both"/>
        <w:rPr>
          <w:rFonts w:asciiTheme="minorHAnsi" w:hAnsiTheme="minorHAnsi" w:cstheme="minorHAnsi"/>
          <w:i/>
          <w:iCs/>
          <w:sz w:val="24"/>
          <w:szCs w:val="24"/>
        </w:rPr>
      </w:pPr>
      <w:r w:rsidRPr="00633BF1">
        <w:rPr>
          <w:rFonts w:asciiTheme="minorHAnsi" w:hAnsiTheme="minorHAnsi" w:cstheme="minorHAnsi"/>
          <w:i/>
          <w:iCs/>
          <w:sz w:val="24"/>
          <w:szCs w:val="24"/>
        </w:rPr>
        <w:t xml:space="preserve">What is the process and factors used to determine the </w:t>
      </w:r>
      <w:r w:rsidR="00252BD5">
        <w:rPr>
          <w:rFonts w:asciiTheme="minorHAnsi" w:hAnsiTheme="minorHAnsi" w:cstheme="minorHAnsi"/>
          <w:i/>
          <w:iCs/>
          <w:sz w:val="24"/>
          <w:szCs w:val="24"/>
        </w:rPr>
        <w:t>Retreat</w:t>
      </w:r>
      <w:r w:rsidRPr="00633BF1">
        <w:rPr>
          <w:rFonts w:asciiTheme="minorHAnsi" w:hAnsiTheme="minorHAnsi" w:cstheme="minorHAnsi"/>
          <w:i/>
          <w:iCs/>
          <w:sz w:val="24"/>
          <w:szCs w:val="24"/>
        </w:rPr>
        <w:t xml:space="preserve"> location? What is the minimum days’ notice that will be given to the Vendor of event location.</w:t>
      </w:r>
    </w:p>
    <w:p w14:paraId="708C6F4C" w14:textId="4421A16A" w:rsidR="00633BF1" w:rsidRDefault="00633BF1" w:rsidP="00633BF1">
      <w:pPr>
        <w:pStyle w:val="ListParagraph"/>
        <w:spacing w:line="215" w:lineRule="auto"/>
        <w:ind w:left="1440"/>
        <w:jc w:val="both"/>
        <w:rPr>
          <w:rFonts w:asciiTheme="minorHAnsi" w:hAnsiTheme="minorHAnsi" w:cstheme="minorHAnsi"/>
          <w:sz w:val="24"/>
          <w:szCs w:val="24"/>
        </w:rPr>
      </w:pPr>
      <w:r w:rsidRPr="00633BF1">
        <w:rPr>
          <w:rFonts w:asciiTheme="minorHAnsi" w:hAnsiTheme="minorHAnsi" w:cstheme="minorHAnsi"/>
          <w:sz w:val="24"/>
          <w:szCs w:val="24"/>
        </w:rPr>
        <w:t>Response: Neither a section number nor page number of the RFP was referenced in the question.</w:t>
      </w:r>
    </w:p>
    <w:p w14:paraId="203430DA" w14:textId="77777777" w:rsidR="00633BF1" w:rsidRDefault="00633BF1" w:rsidP="00633BF1">
      <w:pPr>
        <w:pStyle w:val="ListParagraph"/>
        <w:spacing w:line="215" w:lineRule="auto"/>
        <w:ind w:left="1440"/>
        <w:jc w:val="both"/>
        <w:rPr>
          <w:rFonts w:asciiTheme="minorHAnsi" w:hAnsiTheme="minorHAnsi" w:cstheme="minorHAnsi"/>
          <w:sz w:val="24"/>
          <w:szCs w:val="24"/>
        </w:rPr>
      </w:pPr>
    </w:p>
    <w:p w14:paraId="5B6BFB33" w14:textId="3F8243D6" w:rsidR="00633BF1" w:rsidRPr="00633BF1" w:rsidRDefault="00EA5D5F" w:rsidP="00633BF1">
      <w:pPr>
        <w:pStyle w:val="ListParagraph"/>
        <w:spacing w:line="215" w:lineRule="auto"/>
        <w:ind w:left="1440"/>
        <w:jc w:val="both"/>
        <w:rPr>
          <w:rFonts w:asciiTheme="minorHAnsi" w:hAnsiTheme="minorHAnsi" w:cstheme="minorHAnsi"/>
          <w:sz w:val="24"/>
          <w:szCs w:val="24"/>
        </w:rPr>
      </w:pPr>
      <w:r>
        <w:rPr>
          <w:rFonts w:asciiTheme="minorHAnsi" w:hAnsiTheme="minorHAnsi" w:cstheme="minorHAnsi"/>
          <w:sz w:val="24"/>
          <w:szCs w:val="24"/>
        </w:rPr>
        <w:t xml:space="preserve">Please see RFP Section 2, B, 2 </w:t>
      </w:r>
      <w:r w:rsidR="00E67FBE">
        <w:rPr>
          <w:rFonts w:asciiTheme="minorHAnsi" w:hAnsiTheme="minorHAnsi" w:cstheme="minorHAnsi"/>
          <w:sz w:val="24"/>
          <w:szCs w:val="24"/>
        </w:rPr>
        <w:t xml:space="preserve">that begins on page 8 </w:t>
      </w:r>
      <w:r>
        <w:rPr>
          <w:rFonts w:asciiTheme="minorHAnsi" w:hAnsiTheme="minorHAnsi" w:cstheme="minorHAnsi"/>
          <w:sz w:val="24"/>
          <w:szCs w:val="24"/>
        </w:rPr>
        <w:t>for a list of suggested municipalities</w:t>
      </w:r>
      <w:r w:rsidR="00CD41B4">
        <w:rPr>
          <w:rFonts w:asciiTheme="minorHAnsi" w:hAnsiTheme="minorHAnsi" w:cstheme="minorHAnsi"/>
          <w:sz w:val="24"/>
          <w:szCs w:val="24"/>
        </w:rPr>
        <w:t xml:space="preserve"> and requirements of the meeting hotel.</w:t>
      </w:r>
      <w:r>
        <w:rPr>
          <w:rFonts w:asciiTheme="minorHAnsi" w:hAnsiTheme="minorHAnsi" w:cstheme="minorHAnsi"/>
          <w:sz w:val="24"/>
          <w:szCs w:val="24"/>
        </w:rPr>
        <w:t xml:space="preserve"> It is anticipated that during a </w:t>
      </w:r>
      <w:r w:rsidR="00252BD5">
        <w:rPr>
          <w:rFonts w:asciiTheme="minorHAnsi" w:hAnsiTheme="minorHAnsi" w:cstheme="minorHAnsi"/>
          <w:sz w:val="24"/>
          <w:szCs w:val="24"/>
        </w:rPr>
        <w:t>Retreat</w:t>
      </w:r>
      <w:r>
        <w:rPr>
          <w:rFonts w:asciiTheme="minorHAnsi" w:hAnsiTheme="minorHAnsi" w:cstheme="minorHAnsi"/>
          <w:sz w:val="24"/>
          <w:szCs w:val="24"/>
        </w:rPr>
        <w:t>’s early planning</w:t>
      </w:r>
      <w:r w:rsidR="00CD41B4">
        <w:rPr>
          <w:rFonts w:asciiTheme="minorHAnsi" w:hAnsiTheme="minorHAnsi" w:cstheme="minorHAnsi"/>
          <w:sz w:val="24"/>
          <w:szCs w:val="24"/>
        </w:rPr>
        <w:t xml:space="preserve"> </w:t>
      </w:r>
      <w:r w:rsidR="00CD41B4">
        <w:rPr>
          <w:rFonts w:asciiTheme="minorHAnsi" w:hAnsiTheme="minorHAnsi" w:cstheme="minorHAnsi"/>
          <w:sz w:val="24"/>
          <w:szCs w:val="24"/>
        </w:rPr>
        <w:lastRenderedPageBreak/>
        <w:t>meetings</w:t>
      </w:r>
      <w:r>
        <w:rPr>
          <w:rFonts w:asciiTheme="minorHAnsi" w:hAnsiTheme="minorHAnsi" w:cstheme="minorHAnsi"/>
          <w:sz w:val="24"/>
          <w:szCs w:val="24"/>
        </w:rPr>
        <w:t xml:space="preserve">, the vendor and VR/OIB will discuss the next municipality, and the vendor will </w:t>
      </w:r>
      <w:r w:rsidR="00CD41B4">
        <w:rPr>
          <w:rFonts w:asciiTheme="minorHAnsi" w:hAnsiTheme="minorHAnsi" w:cstheme="minorHAnsi"/>
          <w:sz w:val="24"/>
          <w:szCs w:val="24"/>
        </w:rPr>
        <w:t xml:space="preserve">then </w:t>
      </w:r>
      <w:r>
        <w:rPr>
          <w:rFonts w:asciiTheme="minorHAnsi" w:hAnsiTheme="minorHAnsi" w:cstheme="minorHAnsi"/>
          <w:sz w:val="24"/>
          <w:szCs w:val="24"/>
        </w:rPr>
        <w:t xml:space="preserve">propose a </w:t>
      </w:r>
      <w:r w:rsidR="00CD41B4">
        <w:rPr>
          <w:rFonts w:asciiTheme="minorHAnsi" w:hAnsiTheme="minorHAnsi" w:cstheme="minorHAnsi"/>
          <w:sz w:val="24"/>
          <w:szCs w:val="24"/>
        </w:rPr>
        <w:t>selection</w:t>
      </w:r>
      <w:r>
        <w:rPr>
          <w:rFonts w:asciiTheme="minorHAnsi" w:hAnsiTheme="minorHAnsi" w:cstheme="minorHAnsi"/>
          <w:sz w:val="24"/>
          <w:szCs w:val="24"/>
        </w:rPr>
        <w:t xml:space="preserve"> of potential hotels within that area. </w:t>
      </w:r>
      <w:r w:rsidR="00E67FBE" w:rsidRPr="00E67FBE">
        <w:rPr>
          <w:rFonts w:asciiTheme="minorHAnsi" w:hAnsiTheme="minorHAnsi" w:cstheme="minorHAnsi"/>
          <w:sz w:val="24"/>
          <w:szCs w:val="24"/>
        </w:rPr>
        <w:t>VR/OIB anticipates taking no more than 3 business days to review and provide comments or approval</w:t>
      </w:r>
      <w:r w:rsidR="007C4168">
        <w:rPr>
          <w:rFonts w:asciiTheme="minorHAnsi" w:hAnsiTheme="minorHAnsi" w:cstheme="minorHAnsi"/>
          <w:sz w:val="24"/>
          <w:szCs w:val="24"/>
        </w:rPr>
        <w:t xml:space="preserve"> of a hotel</w:t>
      </w:r>
      <w:r w:rsidR="00E67FBE" w:rsidRPr="00E67FBE">
        <w:rPr>
          <w:rFonts w:asciiTheme="minorHAnsi" w:hAnsiTheme="minorHAnsi" w:cstheme="minorHAnsi"/>
          <w:sz w:val="24"/>
          <w:szCs w:val="24"/>
        </w:rPr>
        <w:t xml:space="preserve">. </w:t>
      </w:r>
      <w:r>
        <w:rPr>
          <w:rFonts w:asciiTheme="minorHAnsi" w:hAnsiTheme="minorHAnsi" w:cstheme="minorHAnsi"/>
          <w:sz w:val="24"/>
          <w:szCs w:val="24"/>
        </w:rPr>
        <w:t>Be advised, VR/SBVI has the sole authority to choose the municipality</w:t>
      </w:r>
      <w:r w:rsidR="00CD41B4">
        <w:rPr>
          <w:rFonts w:asciiTheme="minorHAnsi" w:hAnsiTheme="minorHAnsi" w:cstheme="minorHAnsi"/>
          <w:sz w:val="24"/>
          <w:szCs w:val="24"/>
        </w:rPr>
        <w:t>,</w:t>
      </w:r>
      <w:r>
        <w:rPr>
          <w:rFonts w:asciiTheme="minorHAnsi" w:hAnsiTheme="minorHAnsi" w:cstheme="minorHAnsi"/>
          <w:sz w:val="24"/>
          <w:szCs w:val="24"/>
        </w:rPr>
        <w:t xml:space="preserve"> and </w:t>
      </w:r>
      <w:r w:rsidR="00CD41B4">
        <w:rPr>
          <w:rFonts w:asciiTheme="minorHAnsi" w:hAnsiTheme="minorHAnsi" w:cstheme="minorHAnsi"/>
          <w:sz w:val="24"/>
          <w:szCs w:val="24"/>
        </w:rPr>
        <w:t xml:space="preserve">the </w:t>
      </w:r>
      <w:r>
        <w:rPr>
          <w:rFonts w:asciiTheme="minorHAnsi" w:hAnsiTheme="minorHAnsi" w:cstheme="minorHAnsi"/>
          <w:sz w:val="24"/>
          <w:szCs w:val="24"/>
        </w:rPr>
        <w:t>hotel</w:t>
      </w:r>
      <w:r w:rsidR="00CD41B4">
        <w:rPr>
          <w:rFonts w:asciiTheme="minorHAnsi" w:hAnsiTheme="minorHAnsi" w:cstheme="minorHAnsi"/>
          <w:sz w:val="24"/>
          <w:szCs w:val="24"/>
        </w:rPr>
        <w:t xml:space="preserve"> that VR/SBVI determines will best meet the </w:t>
      </w:r>
      <w:r w:rsidR="002F329B">
        <w:rPr>
          <w:rFonts w:asciiTheme="minorHAnsi" w:hAnsiTheme="minorHAnsi" w:cstheme="minorHAnsi"/>
          <w:sz w:val="24"/>
          <w:szCs w:val="24"/>
        </w:rPr>
        <w:t xml:space="preserve">RFP </w:t>
      </w:r>
      <w:r w:rsidR="00B77C80">
        <w:rPr>
          <w:rFonts w:asciiTheme="minorHAnsi" w:hAnsiTheme="minorHAnsi" w:cstheme="minorHAnsi"/>
          <w:sz w:val="24"/>
          <w:szCs w:val="24"/>
        </w:rPr>
        <w:t xml:space="preserve">established </w:t>
      </w:r>
      <w:r w:rsidR="00CD41B4">
        <w:rPr>
          <w:rFonts w:asciiTheme="minorHAnsi" w:hAnsiTheme="minorHAnsi" w:cstheme="minorHAnsi"/>
          <w:sz w:val="24"/>
          <w:szCs w:val="24"/>
        </w:rPr>
        <w:t>requirements.</w:t>
      </w:r>
    </w:p>
    <w:sectPr w:rsidR="00633BF1" w:rsidRPr="00633BF1" w:rsidSect="00E07E96">
      <w:footerReference w:type="even" r:id="rId13"/>
      <w:footerReference w:type="default" r:id="rId14"/>
      <w:endnotePr>
        <w:numFmt w:val="decimal"/>
      </w:endnotePr>
      <w:pgSz w:w="12240" w:h="15840" w:code="1"/>
      <w:pgMar w:top="576" w:right="864" w:bottom="576" w:left="720" w:header="576" w:footer="57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2B814" w14:textId="77777777" w:rsidR="00281D4F" w:rsidRDefault="00281D4F">
      <w:r>
        <w:separator/>
      </w:r>
    </w:p>
  </w:endnote>
  <w:endnote w:type="continuationSeparator" w:id="0">
    <w:p w14:paraId="15C00EA0" w14:textId="77777777" w:rsidR="00281D4F" w:rsidRDefault="0028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P Standard Serif">
    <w:altName w:val="Times New Roman"/>
    <w:charset w:val="00"/>
    <w:family w:val="roman"/>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8C77" w14:textId="77777777" w:rsidR="00356F50" w:rsidRDefault="00356F50" w:rsidP="002804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639DF4" w14:textId="77777777" w:rsidR="00356F50" w:rsidRDefault="00356F50" w:rsidP="00C371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687818"/>
      <w:docPartObj>
        <w:docPartGallery w:val="Page Numbers (Bottom of Page)"/>
        <w:docPartUnique/>
      </w:docPartObj>
    </w:sdtPr>
    <w:sdtContent>
      <w:sdt>
        <w:sdtPr>
          <w:id w:val="-1769616900"/>
          <w:docPartObj>
            <w:docPartGallery w:val="Page Numbers (Top of Page)"/>
            <w:docPartUnique/>
          </w:docPartObj>
        </w:sdtPr>
        <w:sdtContent>
          <w:p w14:paraId="6C967C00" w14:textId="095D5267" w:rsidR="00C147C7" w:rsidRDefault="00C147C7" w:rsidP="00C147C7">
            <w:pPr>
              <w:pStyle w:val="Footer"/>
            </w:pPr>
            <w:r>
              <w:t xml:space="preserve">             </w:t>
            </w:r>
            <w:r w:rsidR="006D2F01" w:rsidRPr="006D2F01">
              <w:t>TDD Access: Relay NH 711</w:t>
            </w:r>
            <w:r w:rsidR="006D2F01">
              <w:tab/>
            </w:r>
            <w:r w:rsidR="006D2F01">
              <w:tab/>
            </w:r>
            <w:r>
              <w:rPr>
                <w:noProof/>
              </w:rPr>
              <w:drawing>
                <wp:inline distT="0" distB="0" distL="0" distR="0" wp14:anchorId="32531573" wp14:editId="32F7835F">
                  <wp:extent cx="1142365" cy="338274"/>
                  <wp:effectExtent l="0" t="0" r="63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426" cy="364646"/>
                          </a:xfrm>
                          <a:prstGeom prst="rect">
                            <a:avLst/>
                          </a:prstGeom>
                          <a:noFill/>
                        </pic:spPr>
                      </pic:pic>
                    </a:graphicData>
                  </a:graphic>
                </wp:inline>
              </w:drawing>
            </w:r>
            <w:r>
              <w:t xml:space="preserve">     </w:t>
            </w:r>
            <w:r w:rsidR="003A4ECB">
              <w:t xml:space="preserve">                               </w:t>
            </w:r>
            <w:r>
              <w:t xml:space="preserve">              Page </w:t>
            </w:r>
            <w:r>
              <w:rPr>
                <w:b/>
                <w:bCs/>
                <w:sz w:val="24"/>
                <w:szCs w:val="24"/>
              </w:rPr>
              <w:fldChar w:fldCharType="begin"/>
            </w:r>
            <w:r>
              <w:rPr>
                <w:b/>
                <w:bCs/>
              </w:rPr>
              <w:instrText xml:space="preserve"> PAGE </w:instrText>
            </w:r>
            <w:r>
              <w:rPr>
                <w:b/>
                <w:bCs/>
                <w:sz w:val="24"/>
                <w:szCs w:val="24"/>
              </w:rPr>
              <w:fldChar w:fldCharType="separate"/>
            </w:r>
            <w:r w:rsidR="004E495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4951">
              <w:rPr>
                <w:b/>
                <w:bCs/>
                <w:noProof/>
              </w:rPr>
              <w:t>1</w:t>
            </w:r>
            <w:r>
              <w:rPr>
                <w:b/>
                <w:bCs/>
                <w:sz w:val="24"/>
                <w:szCs w:val="24"/>
              </w:rPr>
              <w:fldChar w:fldCharType="end"/>
            </w:r>
          </w:p>
        </w:sdtContent>
      </w:sdt>
    </w:sdtContent>
  </w:sdt>
  <w:p w14:paraId="2FB9F60D" w14:textId="4680B225" w:rsidR="00356F50" w:rsidRDefault="00C147C7" w:rsidP="00C147C7">
    <w:pPr>
      <w:pStyle w:val="Footer"/>
      <w:ind w:right="360"/>
      <w:jc w:val="both"/>
    </w:pPr>
    <w:r>
      <w:rPr>
        <w:rFonts w:asciiTheme="minorHAnsi" w:hAnsiTheme="minorHAnsi" w:cstheme="minorHAnsi"/>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6F257" w14:textId="77777777" w:rsidR="00281D4F" w:rsidRDefault="00281D4F">
      <w:r>
        <w:separator/>
      </w:r>
    </w:p>
  </w:footnote>
  <w:footnote w:type="continuationSeparator" w:id="0">
    <w:p w14:paraId="42BD4301" w14:textId="77777777" w:rsidR="00281D4F" w:rsidRDefault="00281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A6405"/>
    <w:multiLevelType w:val="hybridMultilevel"/>
    <w:tmpl w:val="206C29CA"/>
    <w:lvl w:ilvl="0" w:tplc="C2167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4F7DFA"/>
    <w:multiLevelType w:val="hybridMultilevel"/>
    <w:tmpl w:val="A3E062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5DE71F85"/>
    <w:multiLevelType w:val="hybridMultilevel"/>
    <w:tmpl w:val="A5DEE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4450118">
    <w:abstractNumId w:val="2"/>
  </w:num>
  <w:num w:numId="2" w16cid:durableId="1054502985">
    <w:abstractNumId w:val="0"/>
  </w:num>
  <w:num w:numId="3" w16cid:durableId="9228785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317"/>
    <w:rsid w:val="00003F61"/>
    <w:rsid w:val="000173C1"/>
    <w:rsid w:val="00025575"/>
    <w:rsid w:val="000332DE"/>
    <w:rsid w:val="000415EA"/>
    <w:rsid w:val="00043BA6"/>
    <w:rsid w:val="00043BBD"/>
    <w:rsid w:val="00052025"/>
    <w:rsid w:val="00057B70"/>
    <w:rsid w:val="000672FC"/>
    <w:rsid w:val="0007062E"/>
    <w:rsid w:val="00074C3B"/>
    <w:rsid w:val="000839FA"/>
    <w:rsid w:val="000924B4"/>
    <w:rsid w:val="000A4632"/>
    <w:rsid w:val="000A5DC6"/>
    <w:rsid w:val="000B0540"/>
    <w:rsid w:val="000D6793"/>
    <w:rsid w:val="000E6325"/>
    <w:rsid w:val="00100817"/>
    <w:rsid w:val="001127C9"/>
    <w:rsid w:val="001135E2"/>
    <w:rsid w:val="00114E68"/>
    <w:rsid w:val="001214D1"/>
    <w:rsid w:val="0012342F"/>
    <w:rsid w:val="00126ED6"/>
    <w:rsid w:val="00127545"/>
    <w:rsid w:val="001639A6"/>
    <w:rsid w:val="00164C30"/>
    <w:rsid w:val="00164FCB"/>
    <w:rsid w:val="001703AB"/>
    <w:rsid w:val="00173D13"/>
    <w:rsid w:val="00177FD8"/>
    <w:rsid w:val="00180AE3"/>
    <w:rsid w:val="00191AE8"/>
    <w:rsid w:val="0019522D"/>
    <w:rsid w:val="00195437"/>
    <w:rsid w:val="001A134B"/>
    <w:rsid w:val="001A2F6E"/>
    <w:rsid w:val="001A5280"/>
    <w:rsid w:val="001A60E7"/>
    <w:rsid w:val="001B195F"/>
    <w:rsid w:val="001B1F16"/>
    <w:rsid w:val="001B2165"/>
    <w:rsid w:val="001B37D0"/>
    <w:rsid w:val="001C65F0"/>
    <w:rsid w:val="001C6F1E"/>
    <w:rsid w:val="001D1720"/>
    <w:rsid w:val="001D34F7"/>
    <w:rsid w:val="001D52AF"/>
    <w:rsid w:val="001D6178"/>
    <w:rsid w:val="001E143E"/>
    <w:rsid w:val="001F07AF"/>
    <w:rsid w:val="001F74F4"/>
    <w:rsid w:val="00200C8C"/>
    <w:rsid w:val="00201540"/>
    <w:rsid w:val="0020194C"/>
    <w:rsid w:val="00216BE4"/>
    <w:rsid w:val="00223C52"/>
    <w:rsid w:val="0023619F"/>
    <w:rsid w:val="002361A9"/>
    <w:rsid w:val="00240CBC"/>
    <w:rsid w:val="00241A79"/>
    <w:rsid w:val="00243156"/>
    <w:rsid w:val="002447C6"/>
    <w:rsid w:val="002500AD"/>
    <w:rsid w:val="00252BD5"/>
    <w:rsid w:val="00266F26"/>
    <w:rsid w:val="002718A4"/>
    <w:rsid w:val="002804BD"/>
    <w:rsid w:val="00281D4F"/>
    <w:rsid w:val="002837B0"/>
    <w:rsid w:val="0029162D"/>
    <w:rsid w:val="00294AF9"/>
    <w:rsid w:val="002A09EB"/>
    <w:rsid w:val="002A4BD5"/>
    <w:rsid w:val="002A5100"/>
    <w:rsid w:val="002A5EC5"/>
    <w:rsid w:val="002B3B81"/>
    <w:rsid w:val="002C01A3"/>
    <w:rsid w:val="002C035E"/>
    <w:rsid w:val="002C635D"/>
    <w:rsid w:val="002D0E8E"/>
    <w:rsid w:val="002D2676"/>
    <w:rsid w:val="002D4AD1"/>
    <w:rsid w:val="002F329B"/>
    <w:rsid w:val="002F6232"/>
    <w:rsid w:val="00303C69"/>
    <w:rsid w:val="00305D28"/>
    <w:rsid w:val="0030771F"/>
    <w:rsid w:val="00321A9C"/>
    <w:rsid w:val="003309D6"/>
    <w:rsid w:val="0033150C"/>
    <w:rsid w:val="0033154B"/>
    <w:rsid w:val="00331ECF"/>
    <w:rsid w:val="00332FEB"/>
    <w:rsid w:val="00335176"/>
    <w:rsid w:val="00343DEE"/>
    <w:rsid w:val="00344422"/>
    <w:rsid w:val="00350E8C"/>
    <w:rsid w:val="00353DC9"/>
    <w:rsid w:val="0035609D"/>
    <w:rsid w:val="00356F50"/>
    <w:rsid w:val="00360782"/>
    <w:rsid w:val="0036598B"/>
    <w:rsid w:val="00382FE0"/>
    <w:rsid w:val="00383CA9"/>
    <w:rsid w:val="00384C6D"/>
    <w:rsid w:val="00386072"/>
    <w:rsid w:val="0039468A"/>
    <w:rsid w:val="003973D5"/>
    <w:rsid w:val="003A106D"/>
    <w:rsid w:val="003A2FFB"/>
    <w:rsid w:val="003A343F"/>
    <w:rsid w:val="003A4ECB"/>
    <w:rsid w:val="003B4643"/>
    <w:rsid w:val="003B496E"/>
    <w:rsid w:val="003B798C"/>
    <w:rsid w:val="003C63DC"/>
    <w:rsid w:val="003C768D"/>
    <w:rsid w:val="003D2584"/>
    <w:rsid w:val="003E0615"/>
    <w:rsid w:val="003E10CA"/>
    <w:rsid w:val="003E4BA9"/>
    <w:rsid w:val="003E59F9"/>
    <w:rsid w:val="003E7A2E"/>
    <w:rsid w:val="00400EF1"/>
    <w:rsid w:val="00406B7A"/>
    <w:rsid w:val="00411BC6"/>
    <w:rsid w:val="00424961"/>
    <w:rsid w:val="00432592"/>
    <w:rsid w:val="00436165"/>
    <w:rsid w:val="0045027D"/>
    <w:rsid w:val="004562EF"/>
    <w:rsid w:val="00456553"/>
    <w:rsid w:val="00466752"/>
    <w:rsid w:val="004678D7"/>
    <w:rsid w:val="00474DCC"/>
    <w:rsid w:val="00481F22"/>
    <w:rsid w:val="0048314C"/>
    <w:rsid w:val="00484C94"/>
    <w:rsid w:val="00484D68"/>
    <w:rsid w:val="00485C81"/>
    <w:rsid w:val="00487413"/>
    <w:rsid w:val="004878FF"/>
    <w:rsid w:val="00491AC1"/>
    <w:rsid w:val="00491C64"/>
    <w:rsid w:val="0049402E"/>
    <w:rsid w:val="004C2056"/>
    <w:rsid w:val="004C476B"/>
    <w:rsid w:val="004D6C49"/>
    <w:rsid w:val="004D7F54"/>
    <w:rsid w:val="004E4951"/>
    <w:rsid w:val="004E6EAA"/>
    <w:rsid w:val="004F0102"/>
    <w:rsid w:val="004F3870"/>
    <w:rsid w:val="00500671"/>
    <w:rsid w:val="00500A38"/>
    <w:rsid w:val="005046D8"/>
    <w:rsid w:val="0051610B"/>
    <w:rsid w:val="00527EA2"/>
    <w:rsid w:val="0053088B"/>
    <w:rsid w:val="0053089E"/>
    <w:rsid w:val="00533021"/>
    <w:rsid w:val="005331AD"/>
    <w:rsid w:val="00535E13"/>
    <w:rsid w:val="005567DA"/>
    <w:rsid w:val="00563CAE"/>
    <w:rsid w:val="005645BA"/>
    <w:rsid w:val="0057072F"/>
    <w:rsid w:val="00571AC0"/>
    <w:rsid w:val="005733F3"/>
    <w:rsid w:val="0058094F"/>
    <w:rsid w:val="00583C0D"/>
    <w:rsid w:val="00586B3E"/>
    <w:rsid w:val="0058771C"/>
    <w:rsid w:val="00590E8F"/>
    <w:rsid w:val="0059320D"/>
    <w:rsid w:val="005956F6"/>
    <w:rsid w:val="00597ADB"/>
    <w:rsid w:val="005A7E26"/>
    <w:rsid w:val="005B3F1A"/>
    <w:rsid w:val="005C4A8B"/>
    <w:rsid w:val="005D150B"/>
    <w:rsid w:val="005D22CD"/>
    <w:rsid w:val="005D3E8B"/>
    <w:rsid w:val="005F5535"/>
    <w:rsid w:val="00604670"/>
    <w:rsid w:val="00611230"/>
    <w:rsid w:val="006137BD"/>
    <w:rsid w:val="006153AA"/>
    <w:rsid w:val="00616068"/>
    <w:rsid w:val="006303A1"/>
    <w:rsid w:val="00630AEC"/>
    <w:rsid w:val="00633BF1"/>
    <w:rsid w:val="00636752"/>
    <w:rsid w:val="006417AB"/>
    <w:rsid w:val="00641C58"/>
    <w:rsid w:val="006444BE"/>
    <w:rsid w:val="006542E6"/>
    <w:rsid w:val="006564B1"/>
    <w:rsid w:val="00674670"/>
    <w:rsid w:val="006753F8"/>
    <w:rsid w:val="00675A99"/>
    <w:rsid w:val="00675F9C"/>
    <w:rsid w:val="00684EFE"/>
    <w:rsid w:val="00696937"/>
    <w:rsid w:val="00696B5E"/>
    <w:rsid w:val="006A1555"/>
    <w:rsid w:val="006A2856"/>
    <w:rsid w:val="006B0B66"/>
    <w:rsid w:val="006C1696"/>
    <w:rsid w:val="006C1AF5"/>
    <w:rsid w:val="006C4524"/>
    <w:rsid w:val="006D2F01"/>
    <w:rsid w:val="006F0635"/>
    <w:rsid w:val="006F3662"/>
    <w:rsid w:val="00723590"/>
    <w:rsid w:val="00732CFA"/>
    <w:rsid w:val="00741629"/>
    <w:rsid w:val="0074323B"/>
    <w:rsid w:val="007510E1"/>
    <w:rsid w:val="00751114"/>
    <w:rsid w:val="007628DA"/>
    <w:rsid w:val="00776EF1"/>
    <w:rsid w:val="00783206"/>
    <w:rsid w:val="0078571A"/>
    <w:rsid w:val="00790B19"/>
    <w:rsid w:val="00793619"/>
    <w:rsid w:val="007A5476"/>
    <w:rsid w:val="007A547A"/>
    <w:rsid w:val="007B57F2"/>
    <w:rsid w:val="007B5FBB"/>
    <w:rsid w:val="007B7A20"/>
    <w:rsid w:val="007C24E7"/>
    <w:rsid w:val="007C4168"/>
    <w:rsid w:val="007C6C1F"/>
    <w:rsid w:val="007D5317"/>
    <w:rsid w:val="007D6EC7"/>
    <w:rsid w:val="007F2224"/>
    <w:rsid w:val="007F3366"/>
    <w:rsid w:val="00812CC0"/>
    <w:rsid w:val="00813BB4"/>
    <w:rsid w:val="008146EC"/>
    <w:rsid w:val="00827E1A"/>
    <w:rsid w:val="00837A05"/>
    <w:rsid w:val="00851F67"/>
    <w:rsid w:val="008531F5"/>
    <w:rsid w:val="00854002"/>
    <w:rsid w:val="00856893"/>
    <w:rsid w:val="00861413"/>
    <w:rsid w:val="00875887"/>
    <w:rsid w:val="00876750"/>
    <w:rsid w:val="00890202"/>
    <w:rsid w:val="00890246"/>
    <w:rsid w:val="00897869"/>
    <w:rsid w:val="008A09CB"/>
    <w:rsid w:val="008A6B0C"/>
    <w:rsid w:val="008A7F8F"/>
    <w:rsid w:val="008B3AB5"/>
    <w:rsid w:val="008B5EE4"/>
    <w:rsid w:val="008C0E34"/>
    <w:rsid w:val="008C4512"/>
    <w:rsid w:val="008D3BF9"/>
    <w:rsid w:val="008D6432"/>
    <w:rsid w:val="008D7EC9"/>
    <w:rsid w:val="008E01E4"/>
    <w:rsid w:val="008F1861"/>
    <w:rsid w:val="009110D8"/>
    <w:rsid w:val="00920C5D"/>
    <w:rsid w:val="00922016"/>
    <w:rsid w:val="009221E0"/>
    <w:rsid w:val="00944E9B"/>
    <w:rsid w:val="00945B06"/>
    <w:rsid w:val="00960A77"/>
    <w:rsid w:val="00965DCF"/>
    <w:rsid w:val="00966D9B"/>
    <w:rsid w:val="00970339"/>
    <w:rsid w:val="00972E88"/>
    <w:rsid w:val="00975336"/>
    <w:rsid w:val="009817AA"/>
    <w:rsid w:val="00996769"/>
    <w:rsid w:val="009967DB"/>
    <w:rsid w:val="009B0EF6"/>
    <w:rsid w:val="009C60DA"/>
    <w:rsid w:val="009D0E0A"/>
    <w:rsid w:val="009D4875"/>
    <w:rsid w:val="009E17A0"/>
    <w:rsid w:val="00A021E1"/>
    <w:rsid w:val="00A10F82"/>
    <w:rsid w:val="00A11CB2"/>
    <w:rsid w:val="00A16015"/>
    <w:rsid w:val="00A25050"/>
    <w:rsid w:val="00A25F2F"/>
    <w:rsid w:val="00A30588"/>
    <w:rsid w:val="00A32031"/>
    <w:rsid w:val="00A360C2"/>
    <w:rsid w:val="00A364C4"/>
    <w:rsid w:val="00A37118"/>
    <w:rsid w:val="00A42735"/>
    <w:rsid w:val="00A47937"/>
    <w:rsid w:val="00A50253"/>
    <w:rsid w:val="00A70869"/>
    <w:rsid w:val="00A816C9"/>
    <w:rsid w:val="00A83922"/>
    <w:rsid w:val="00A83C2A"/>
    <w:rsid w:val="00A862FC"/>
    <w:rsid w:val="00A97494"/>
    <w:rsid w:val="00AB48CC"/>
    <w:rsid w:val="00AC3EB4"/>
    <w:rsid w:val="00AC42EF"/>
    <w:rsid w:val="00AD741A"/>
    <w:rsid w:val="00AE112E"/>
    <w:rsid w:val="00AE2A6C"/>
    <w:rsid w:val="00AE6398"/>
    <w:rsid w:val="00B03197"/>
    <w:rsid w:val="00B12C8C"/>
    <w:rsid w:val="00B21830"/>
    <w:rsid w:val="00B23DAA"/>
    <w:rsid w:val="00B40DCF"/>
    <w:rsid w:val="00B43036"/>
    <w:rsid w:val="00B44731"/>
    <w:rsid w:val="00B46862"/>
    <w:rsid w:val="00B524EA"/>
    <w:rsid w:val="00B55E60"/>
    <w:rsid w:val="00B617CF"/>
    <w:rsid w:val="00B635BF"/>
    <w:rsid w:val="00B654A4"/>
    <w:rsid w:val="00B77C80"/>
    <w:rsid w:val="00B814FF"/>
    <w:rsid w:val="00B84208"/>
    <w:rsid w:val="00B904F4"/>
    <w:rsid w:val="00B92F18"/>
    <w:rsid w:val="00B93842"/>
    <w:rsid w:val="00B93990"/>
    <w:rsid w:val="00B94E23"/>
    <w:rsid w:val="00B94FDC"/>
    <w:rsid w:val="00BA4088"/>
    <w:rsid w:val="00BB236B"/>
    <w:rsid w:val="00BC06D6"/>
    <w:rsid w:val="00BC0FC8"/>
    <w:rsid w:val="00BC1BA8"/>
    <w:rsid w:val="00BD1F3A"/>
    <w:rsid w:val="00BD41CC"/>
    <w:rsid w:val="00BD459E"/>
    <w:rsid w:val="00BE4568"/>
    <w:rsid w:val="00BF4943"/>
    <w:rsid w:val="00C02087"/>
    <w:rsid w:val="00C0568B"/>
    <w:rsid w:val="00C13A76"/>
    <w:rsid w:val="00C147C7"/>
    <w:rsid w:val="00C2135C"/>
    <w:rsid w:val="00C24594"/>
    <w:rsid w:val="00C31291"/>
    <w:rsid w:val="00C34030"/>
    <w:rsid w:val="00C35835"/>
    <w:rsid w:val="00C35D09"/>
    <w:rsid w:val="00C36843"/>
    <w:rsid w:val="00C370F5"/>
    <w:rsid w:val="00C37118"/>
    <w:rsid w:val="00C37DEF"/>
    <w:rsid w:val="00C41DB3"/>
    <w:rsid w:val="00C51DD3"/>
    <w:rsid w:val="00C6155A"/>
    <w:rsid w:val="00C63BFE"/>
    <w:rsid w:val="00C640E0"/>
    <w:rsid w:val="00C7528D"/>
    <w:rsid w:val="00C828D0"/>
    <w:rsid w:val="00C84D70"/>
    <w:rsid w:val="00C96819"/>
    <w:rsid w:val="00CA1063"/>
    <w:rsid w:val="00CA1392"/>
    <w:rsid w:val="00CB5B99"/>
    <w:rsid w:val="00CD272B"/>
    <w:rsid w:val="00CD40B7"/>
    <w:rsid w:val="00CD41B4"/>
    <w:rsid w:val="00CE643C"/>
    <w:rsid w:val="00D07BDF"/>
    <w:rsid w:val="00D21E1C"/>
    <w:rsid w:val="00D258F7"/>
    <w:rsid w:val="00D36CFC"/>
    <w:rsid w:val="00D46422"/>
    <w:rsid w:val="00D53974"/>
    <w:rsid w:val="00D675B7"/>
    <w:rsid w:val="00D85D3D"/>
    <w:rsid w:val="00DA0EA8"/>
    <w:rsid w:val="00DA4EF4"/>
    <w:rsid w:val="00DA64E6"/>
    <w:rsid w:val="00DA664A"/>
    <w:rsid w:val="00DA7A05"/>
    <w:rsid w:val="00DB711D"/>
    <w:rsid w:val="00DC157F"/>
    <w:rsid w:val="00DD04ED"/>
    <w:rsid w:val="00DD0E49"/>
    <w:rsid w:val="00DD33BA"/>
    <w:rsid w:val="00DD6F81"/>
    <w:rsid w:val="00DF08B3"/>
    <w:rsid w:val="00DF2584"/>
    <w:rsid w:val="00DF3AC6"/>
    <w:rsid w:val="00E04494"/>
    <w:rsid w:val="00E05B24"/>
    <w:rsid w:val="00E07E96"/>
    <w:rsid w:val="00E1042E"/>
    <w:rsid w:val="00E13092"/>
    <w:rsid w:val="00E221F4"/>
    <w:rsid w:val="00E22B37"/>
    <w:rsid w:val="00E2464D"/>
    <w:rsid w:val="00E464CD"/>
    <w:rsid w:val="00E46911"/>
    <w:rsid w:val="00E52940"/>
    <w:rsid w:val="00E532FA"/>
    <w:rsid w:val="00E57E94"/>
    <w:rsid w:val="00E644FC"/>
    <w:rsid w:val="00E66510"/>
    <w:rsid w:val="00E67FBE"/>
    <w:rsid w:val="00E70F88"/>
    <w:rsid w:val="00E73DDA"/>
    <w:rsid w:val="00E758C0"/>
    <w:rsid w:val="00E8059E"/>
    <w:rsid w:val="00E836D9"/>
    <w:rsid w:val="00E84506"/>
    <w:rsid w:val="00E86C4C"/>
    <w:rsid w:val="00E919D0"/>
    <w:rsid w:val="00E91DC3"/>
    <w:rsid w:val="00EA23C2"/>
    <w:rsid w:val="00EA5D5F"/>
    <w:rsid w:val="00EB01C1"/>
    <w:rsid w:val="00EC3D6D"/>
    <w:rsid w:val="00ED2A54"/>
    <w:rsid w:val="00ED4D65"/>
    <w:rsid w:val="00EF0CC9"/>
    <w:rsid w:val="00EF1E25"/>
    <w:rsid w:val="00EF4807"/>
    <w:rsid w:val="00EF5C0E"/>
    <w:rsid w:val="00EF62C6"/>
    <w:rsid w:val="00EF7A6D"/>
    <w:rsid w:val="00F10583"/>
    <w:rsid w:val="00F125AE"/>
    <w:rsid w:val="00F309C7"/>
    <w:rsid w:val="00F55079"/>
    <w:rsid w:val="00F55415"/>
    <w:rsid w:val="00F70C70"/>
    <w:rsid w:val="00F72D23"/>
    <w:rsid w:val="00F754BB"/>
    <w:rsid w:val="00F90F03"/>
    <w:rsid w:val="00F9126C"/>
    <w:rsid w:val="00F97167"/>
    <w:rsid w:val="00FA0B04"/>
    <w:rsid w:val="00FA159C"/>
    <w:rsid w:val="00FA19B2"/>
    <w:rsid w:val="00FA6E93"/>
    <w:rsid w:val="00FB1021"/>
    <w:rsid w:val="00FB7308"/>
    <w:rsid w:val="00FB7909"/>
    <w:rsid w:val="00FC40DC"/>
    <w:rsid w:val="00FC5611"/>
    <w:rsid w:val="00FD3260"/>
    <w:rsid w:val="00FD3889"/>
    <w:rsid w:val="00FD3DB4"/>
    <w:rsid w:val="00FE7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735C95"/>
  <w15:chartTrackingRefBased/>
  <w15:docId w15:val="{4E8C187D-1F2F-4D3F-9699-704B5A1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line="215" w:lineRule="auto"/>
      <w:ind w:left="-720" w:right="-720"/>
      <w:outlineLvl w:val="0"/>
    </w:pPr>
    <w:rPr>
      <w:rFonts w:ascii="Arial Black" w:hAnsi="Arial Black"/>
      <w:b/>
      <w:sz w:val="36"/>
    </w:rPr>
  </w:style>
  <w:style w:type="paragraph" w:styleId="Heading2">
    <w:name w:val="heading 2"/>
    <w:basedOn w:val="Normal"/>
    <w:next w:val="Normal"/>
    <w:link w:val="Heading2Char"/>
    <w:qFormat/>
    <w:pPr>
      <w:keepNext/>
      <w:tabs>
        <w:tab w:val="left" w:pos="450"/>
        <w:tab w:val="left" w:pos="4860"/>
        <w:tab w:val="left" w:pos="6030"/>
      </w:tabs>
      <w:spacing w:line="215" w:lineRule="auto"/>
      <w:ind w:left="-720" w:right="-720"/>
      <w:outlineLvl w:val="1"/>
    </w:pPr>
    <w:rPr>
      <w:rFonts w:ascii="Arial Black" w:hAnsi="Arial Black"/>
      <w:sz w:val="32"/>
    </w:rPr>
  </w:style>
  <w:style w:type="paragraph" w:styleId="Heading3">
    <w:name w:val="heading 3"/>
    <w:basedOn w:val="Normal"/>
    <w:next w:val="Normal"/>
    <w:link w:val="Heading3Char"/>
    <w:qFormat/>
    <w:rsid w:val="00C3583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character" w:styleId="Strong">
    <w:name w:val="Strong"/>
    <w:qFormat/>
    <w:rPr>
      <w:b/>
    </w:rPr>
  </w:style>
  <w:style w:type="paragraph" w:styleId="Title">
    <w:name w:val="Title"/>
    <w:basedOn w:val="Normal"/>
    <w:qFormat/>
    <w:pPr>
      <w:widowControl w:val="0"/>
      <w:spacing w:line="216" w:lineRule="auto"/>
      <w:jc w:val="center"/>
    </w:pPr>
    <w:rPr>
      <w:rFonts w:ascii="WP Standard Serif" w:hAnsi="WP Standard Serif"/>
      <w:b/>
      <w:sz w:val="34"/>
    </w:rPr>
  </w:style>
  <w:style w:type="paragraph" w:styleId="BlockText">
    <w:name w:val="Block Text"/>
    <w:basedOn w:val="Normal"/>
    <w:pPr>
      <w:spacing w:line="215" w:lineRule="auto"/>
      <w:ind w:left="-720" w:right="-720"/>
    </w:pPr>
    <w:rPr>
      <w:rFonts w:ascii="Arial Black" w:hAnsi="Arial Black"/>
      <w:sz w:val="32"/>
    </w:rPr>
  </w:style>
  <w:style w:type="paragraph" w:styleId="BodyText">
    <w:name w:val="Body Text"/>
    <w:basedOn w:val="Normal"/>
    <w:rsid w:val="00BF4943"/>
    <w:pPr>
      <w:widowControl w:val="0"/>
    </w:pPr>
    <w:rPr>
      <w:snapToGrid w:val="0"/>
      <w:sz w:val="36"/>
    </w:rPr>
  </w:style>
  <w:style w:type="paragraph" w:styleId="BodyText2">
    <w:name w:val="Body Text 2"/>
    <w:basedOn w:val="Normal"/>
    <w:rsid w:val="00BF4943"/>
    <w:pPr>
      <w:widowControl w:val="0"/>
    </w:pPr>
    <w:rPr>
      <w:b/>
      <w:snapToGrid w:val="0"/>
      <w:sz w:val="36"/>
    </w:rPr>
  </w:style>
  <w:style w:type="paragraph" w:styleId="Footer">
    <w:name w:val="footer"/>
    <w:basedOn w:val="Normal"/>
    <w:link w:val="FooterChar"/>
    <w:uiPriority w:val="99"/>
    <w:rsid w:val="00C37118"/>
    <w:pPr>
      <w:tabs>
        <w:tab w:val="center" w:pos="4320"/>
        <w:tab w:val="right" w:pos="8640"/>
      </w:tabs>
    </w:pPr>
  </w:style>
  <w:style w:type="character" w:styleId="PageNumber">
    <w:name w:val="page number"/>
    <w:basedOn w:val="DefaultParagraphFont"/>
    <w:rsid w:val="00C37118"/>
  </w:style>
  <w:style w:type="paragraph" w:styleId="BalloonText">
    <w:name w:val="Balloon Text"/>
    <w:basedOn w:val="Normal"/>
    <w:link w:val="BalloonTextChar"/>
    <w:rsid w:val="00386072"/>
    <w:rPr>
      <w:rFonts w:ascii="Tahoma" w:hAnsi="Tahoma" w:cs="Tahoma"/>
      <w:sz w:val="16"/>
      <w:szCs w:val="16"/>
    </w:rPr>
  </w:style>
  <w:style w:type="character" w:customStyle="1" w:styleId="BalloonTextChar">
    <w:name w:val="Balloon Text Char"/>
    <w:link w:val="BalloonText"/>
    <w:rsid w:val="00386072"/>
    <w:rPr>
      <w:rFonts w:ascii="Tahoma" w:hAnsi="Tahoma" w:cs="Tahoma"/>
      <w:sz w:val="16"/>
      <w:szCs w:val="16"/>
    </w:rPr>
  </w:style>
  <w:style w:type="character" w:customStyle="1" w:styleId="Heading3Char">
    <w:name w:val="Heading 3 Char"/>
    <w:link w:val="Heading3"/>
    <w:rsid w:val="00B03197"/>
    <w:rPr>
      <w:rFonts w:ascii="Arial" w:hAnsi="Arial" w:cs="Arial"/>
      <w:b/>
      <w:bCs/>
      <w:sz w:val="26"/>
      <w:szCs w:val="26"/>
    </w:rPr>
  </w:style>
  <w:style w:type="paragraph" w:styleId="Header">
    <w:name w:val="header"/>
    <w:basedOn w:val="Normal"/>
    <w:link w:val="HeaderChar"/>
    <w:rsid w:val="00195437"/>
    <w:pPr>
      <w:tabs>
        <w:tab w:val="center" w:pos="4680"/>
        <w:tab w:val="right" w:pos="9360"/>
      </w:tabs>
    </w:pPr>
  </w:style>
  <w:style w:type="character" w:customStyle="1" w:styleId="HeaderChar">
    <w:name w:val="Header Char"/>
    <w:basedOn w:val="DefaultParagraphFont"/>
    <w:link w:val="Header"/>
    <w:rsid w:val="00195437"/>
  </w:style>
  <w:style w:type="character" w:customStyle="1" w:styleId="FooterChar">
    <w:name w:val="Footer Char"/>
    <w:link w:val="Footer"/>
    <w:uiPriority w:val="99"/>
    <w:rsid w:val="00195437"/>
  </w:style>
  <w:style w:type="character" w:customStyle="1" w:styleId="Heading1Char">
    <w:name w:val="Heading 1 Char"/>
    <w:link w:val="Heading1"/>
    <w:rsid w:val="008A09CB"/>
    <w:rPr>
      <w:rFonts w:ascii="Arial Black" w:hAnsi="Arial Black"/>
      <w:b/>
      <w:sz w:val="36"/>
    </w:rPr>
  </w:style>
  <w:style w:type="character" w:customStyle="1" w:styleId="Heading2Char">
    <w:name w:val="Heading 2 Char"/>
    <w:link w:val="Heading2"/>
    <w:rsid w:val="008A09CB"/>
    <w:rPr>
      <w:rFonts w:ascii="Arial Black" w:hAnsi="Arial Black"/>
      <w:sz w:val="32"/>
    </w:rPr>
  </w:style>
  <w:style w:type="table" w:styleId="TableGrid">
    <w:name w:val="Table Grid"/>
    <w:basedOn w:val="TableNormal"/>
    <w:uiPriority w:val="59"/>
    <w:rsid w:val="008A09C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81F22"/>
    <w:rPr>
      <w:color w:val="808080"/>
    </w:rPr>
  </w:style>
  <w:style w:type="paragraph" w:styleId="ListParagraph">
    <w:name w:val="List Paragraph"/>
    <w:basedOn w:val="Normal"/>
    <w:uiPriority w:val="34"/>
    <w:qFormat/>
    <w:rsid w:val="00571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3248">
      <w:bodyDiv w:val="1"/>
      <w:marLeft w:val="0"/>
      <w:marRight w:val="0"/>
      <w:marTop w:val="0"/>
      <w:marBottom w:val="0"/>
      <w:divBdr>
        <w:top w:val="none" w:sz="0" w:space="0" w:color="auto"/>
        <w:left w:val="none" w:sz="0" w:space="0" w:color="auto"/>
        <w:bottom w:val="none" w:sz="0" w:space="0" w:color="auto"/>
        <w:right w:val="none" w:sz="0" w:space="0" w:color="auto"/>
      </w:divBdr>
    </w:div>
    <w:div w:id="633221517">
      <w:bodyDiv w:val="1"/>
      <w:marLeft w:val="0"/>
      <w:marRight w:val="0"/>
      <w:marTop w:val="0"/>
      <w:marBottom w:val="0"/>
      <w:divBdr>
        <w:top w:val="none" w:sz="0" w:space="0" w:color="auto"/>
        <w:left w:val="none" w:sz="0" w:space="0" w:color="auto"/>
        <w:bottom w:val="none" w:sz="0" w:space="0" w:color="auto"/>
        <w:right w:val="none" w:sz="0" w:space="0" w:color="auto"/>
      </w:divBdr>
    </w:div>
    <w:div w:id="1306738531">
      <w:bodyDiv w:val="1"/>
      <w:marLeft w:val="0"/>
      <w:marRight w:val="0"/>
      <w:marTop w:val="0"/>
      <w:marBottom w:val="0"/>
      <w:divBdr>
        <w:top w:val="none" w:sz="0" w:space="0" w:color="auto"/>
        <w:left w:val="none" w:sz="0" w:space="0" w:color="auto"/>
        <w:bottom w:val="none" w:sz="0" w:space="0" w:color="auto"/>
        <w:right w:val="none" w:sz="0" w:space="0" w:color="auto"/>
      </w:divBdr>
    </w:div>
    <w:div w:id="145116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ED61E6F2AD2E49918593D8D89888C0" ma:contentTypeVersion="6" ma:contentTypeDescription="Create a new document." ma:contentTypeScope="" ma:versionID="18fafaf505e90dae729d84ce369a13e7">
  <xsd:schema xmlns:xsd="http://www.w3.org/2001/XMLSchema" xmlns:xs="http://www.w3.org/2001/XMLSchema" xmlns:p="http://schemas.microsoft.com/office/2006/metadata/properties" xmlns:ns3="5577049b-8317-4d93-98b0-138c77d64d2c" targetNamespace="http://schemas.microsoft.com/office/2006/metadata/properties" ma:root="true" ma:fieldsID="4bb2e520c2a7312a470d3dfa44e067af" ns3:_="">
    <xsd:import namespace="5577049b-8317-4d93-98b0-138c77d64d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7049b-8317-4d93-98b0-138c77d64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93132-3691-4B77-BC38-18B49D3CF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7049b-8317-4d93-98b0-138c77d64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D8A3C-4F73-4A34-B4DD-A663322EF464}">
  <ds:schemaRefs>
    <ds:schemaRef ds:uri="http://schemas.microsoft.com/sharepoint/v3/contenttype/forms"/>
  </ds:schemaRefs>
</ds:datastoreItem>
</file>

<file path=customXml/itemProps3.xml><?xml version="1.0" encoding="utf-8"?>
<ds:datastoreItem xmlns:ds="http://schemas.openxmlformats.org/officeDocument/2006/customXml" ds:itemID="{C4A4EA41-0E3C-46C0-9655-C02A117445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952990-6E56-4797-A1E6-83DBBF94C818}">
  <ds:schemaRefs>
    <ds:schemaRef ds:uri="http://schemas.openxmlformats.org/officeDocument/2006/bibliography"/>
  </ds:schemaRefs>
</ds:datastoreItem>
</file>

<file path=docMetadata/LabelInfo.xml><?xml version="1.0" encoding="utf-8"?>
<clbl:labelList xmlns:clbl="http://schemas.microsoft.com/office/2020/mipLabelMetadata">
  <clbl:label id="{992deae9-1c4c-42c8-a310-5088af55ba74}" enabled="0" method="" siteId="{992deae9-1c4c-42c8-a310-5088af55ba74}"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~RELEASE OF INFORMATION~</vt:lpstr>
    </vt:vector>
  </TitlesOfParts>
  <Company>SBVI-IL</Company>
  <LinksUpToDate>false</LinksUpToDate>
  <CharactersWithSpaces>6125</CharactersWithSpaces>
  <SharedDoc>false</SharedDoc>
  <HLinks>
    <vt:vector size="6" baseType="variant">
      <vt:variant>
        <vt:i4>3014729</vt:i4>
      </vt:variant>
      <vt:variant>
        <vt:i4>2156</vt:i4>
      </vt:variant>
      <vt:variant>
        <vt:i4>1025</vt:i4>
      </vt:variant>
      <vt:variant>
        <vt:i4>1</vt:i4>
      </vt:variant>
      <vt:variant>
        <vt:lpwstr>cid:image001.jpg@01D7DD33.A5B19BF0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INFORMATION~</dc:title>
  <dc:subject/>
  <dc:creator>Lawrence DeAngelis</dc:creator>
  <cp:keywords/>
  <cp:lastModifiedBy>Littlefield, Lynn</cp:lastModifiedBy>
  <cp:revision>4</cp:revision>
  <cp:lastPrinted>2023-06-13T18:49:00Z</cp:lastPrinted>
  <dcterms:created xsi:type="dcterms:W3CDTF">2023-06-23T18:12:00Z</dcterms:created>
  <dcterms:modified xsi:type="dcterms:W3CDTF">2023-06-23T20:35:00Z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0x010100BAED61E6F2AD2E49918593D8D89888C0</vt:lpwstr>
  </property>
</Properties>
</file>